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94A621" w14:textId="1B5413BF" w:rsidR="00316E1C" w:rsidRDefault="00A27F2F" w:rsidP="00102610">
      <w:pPr>
        <w:pStyle w:val="Header"/>
        <w:tabs>
          <w:tab w:val="right" w:pos="9000"/>
        </w:tabs>
        <w:rPr>
          <w:rFonts w:ascii="Calibri" w:eastAsia="Calibri" w:hAnsi="Calibri" w:cs="Calibri"/>
          <w:sz w:val="24"/>
          <w:szCs w:val="24"/>
        </w:rPr>
      </w:pPr>
      <w:r>
        <w:rPr>
          <w:rFonts w:ascii="Calibri" w:hAnsi="Calibri"/>
          <w:sz w:val="24"/>
          <w:szCs w:val="24"/>
        </w:rPr>
        <w:t>3GPP TSG-RAN WG2 Meeting #11</w:t>
      </w:r>
      <w:r w:rsidR="00FD4CE3">
        <w:rPr>
          <w:rFonts w:ascii="Calibri" w:hAnsi="Calibri"/>
          <w:sz w:val="24"/>
          <w:szCs w:val="24"/>
        </w:rPr>
        <w:t>9</w:t>
      </w:r>
      <w:r>
        <w:rPr>
          <w:rFonts w:ascii="Calibri" w:hAnsi="Calibri"/>
          <w:sz w:val="24"/>
          <w:szCs w:val="24"/>
        </w:rPr>
        <w:t>-</w:t>
      </w:r>
      <w:r>
        <w:rPr>
          <w:rFonts w:ascii="Calibri" w:hAnsi="Calibri"/>
          <w:sz w:val="24"/>
          <w:szCs w:val="24"/>
          <w:lang w:val="da-DK"/>
        </w:rPr>
        <w:t>e</w:t>
      </w:r>
      <w:r>
        <w:rPr>
          <w:rFonts w:ascii="Calibri" w:hAnsi="Calibri"/>
          <w:sz w:val="24"/>
          <w:szCs w:val="24"/>
          <w:lang w:val="da-DK"/>
        </w:rPr>
        <w:tab/>
        <w:t>R2-2</w:t>
      </w:r>
      <w:r>
        <w:rPr>
          <w:rFonts w:ascii="Calibri" w:hAnsi="Calibri"/>
          <w:sz w:val="24"/>
          <w:szCs w:val="24"/>
        </w:rPr>
        <w:t>20</w:t>
      </w:r>
      <w:r w:rsidR="00C15D07">
        <w:rPr>
          <w:rFonts w:ascii="Calibri" w:hAnsi="Calibri"/>
          <w:sz w:val="24"/>
          <w:szCs w:val="24"/>
        </w:rPr>
        <w:t>8641</w:t>
      </w:r>
    </w:p>
    <w:p w14:paraId="57B62763" w14:textId="0936DCF8" w:rsidR="00316E1C" w:rsidRDefault="00A27F2F" w:rsidP="00102610">
      <w:pPr>
        <w:pStyle w:val="Header"/>
        <w:tabs>
          <w:tab w:val="right" w:pos="9000"/>
        </w:tabs>
        <w:rPr>
          <w:rFonts w:ascii="Calibri" w:eastAsia="Calibri" w:hAnsi="Calibri" w:cs="Calibri"/>
          <w:sz w:val="20"/>
          <w:szCs w:val="20"/>
        </w:rPr>
      </w:pPr>
      <w:r>
        <w:rPr>
          <w:rFonts w:ascii="Calibri" w:hAnsi="Calibri"/>
          <w:sz w:val="24"/>
          <w:szCs w:val="24"/>
        </w:rPr>
        <w:t xml:space="preserve">e-Meeting: </w:t>
      </w:r>
      <w:r w:rsidR="009A05D3">
        <w:rPr>
          <w:rFonts w:ascii="Calibri" w:hAnsi="Calibri"/>
          <w:sz w:val="24"/>
          <w:szCs w:val="24"/>
        </w:rPr>
        <w:t>August</w:t>
      </w:r>
      <w:r>
        <w:rPr>
          <w:rFonts w:ascii="Calibri" w:hAnsi="Calibri"/>
          <w:sz w:val="24"/>
          <w:szCs w:val="24"/>
        </w:rPr>
        <w:t xml:space="preserve"> </w:t>
      </w:r>
      <w:r w:rsidR="009A05D3">
        <w:rPr>
          <w:rFonts w:ascii="Calibri" w:hAnsi="Calibri"/>
          <w:sz w:val="24"/>
          <w:szCs w:val="24"/>
        </w:rPr>
        <w:t>15</w:t>
      </w:r>
      <w:r>
        <w:rPr>
          <w:rFonts w:ascii="Calibri" w:hAnsi="Calibri"/>
          <w:sz w:val="24"/>
          <w:szCs w:val="24"/>
          <w:vertAlign w:val="superscript"/>
        </w:rPr>
        <w:t>th</w:t>
      </w:r>
      <w:r>
        <w:rPr>
          <w:rFonts w:ascii="Calibri" w:hAnsi="Calibri"/>
          <w:sz w:val="24"/>
          <w:szCs w:val="24"/>
        </w:rPr>
        <w:t xml:space="preserve"> – 2</w:t>
      </w:r>
      <w:r w:rsidR="009A05D3">
        <w:rPr>
          <w:rFonts w:ascii="Calibri" w:hAnsi="Calibri"/>
          <w:sz w:val="24"/>
          <w:szCs w:val="24"/>
        </w:rPr>
        <w:t>6</w:t>
      </w:r>
      <w:r>
        <w:rPr>
          <w:rFonts w:ascii="Calibri" w:hAnsi="Calibri"/>
          <w:sz w:val="24"/>
          <w:szCs w:val="24"/>
          <w:vertAlign w:val="superscript"/>
        </w:rPr>
        <w:t>th</w:t>
      </w:r>
      <w:r>
        <w:rPr>
          <w:rFonts w:ascii="Calibri" w:hAnsi="Calibri"/>
          <w:sz w:val="24"/>
          <w:szCs w:val="24"/>
        </w:rPr>
        <w:t xml:space="preserve">, 2022                                  </w:t>
      </w:r>
      <w:r>
        <w:rPr>
          <w:rFonts w:ascii="Calibri" w:hAnsi="Calibri"/>
          <w:sz w:val="20"/>
          <w:szCs w:val="20"/>
        </w:rPr>
        <w:t xml:space="preserve">               </w:t>
      </w:r>
    </w:p>
    <w:p w14:paraId="0211F449" w14:textId="77777777" w:rsidR="00316E1C" w:rsidRDefault="00A27F2F" w:rsidP="00102610">
      <w:pPr>
        <w:pStyle w:val="Header"/>
        <w:tabs>
          <w:tab w:val="right" w:pos="9000"/>
        </w:tabs>
        <w:rPr>
          <w:rFonts w:ascii="Calibri" w:eastAsia="Calibri" w:hAnsi="Calibri" w:cs="Calibri"/>
          <w:i/>
          <w:iCs/>
          <w:sz w:val="20"/>
          <w:szCs w:val="20"/>
        </w:rPr>
      </w:pPr>
      <w:r>
        <w:rPr>
          <w:rFonts w:ascii="Calibri" w:eastAsia="Calibri" w:hAnsi="Calibri" w:cs="Calibri"/>
          <w:i/>
          <w:iCs/>
          <w:sz w:val="20"/>
          <w:szCs w:val="20"/>
        </w:rPr>
        <w:tab/>
      </w:r>
    </w:p>
    <w:p w14:paraId="05D5368A" w14:textId="0F4FE8CB" w:rsidR="00316E1C" w:rsidRDefault="00A27F2F" w:rsidP="00102610">
      <w:pPr>
        <w:pStyle w:val="CRCoverPage"/>
        <w:spacing w:after="60"/>
        <w:ind w:left="1987" w:hanging="1987"/>
        <w:rPr>
          <w:rFonts w:ascii="Calibri" w:eastAsia="Calibri" w:hAnsi="Calibri" w:cs="Calibri"/>
          <w:b/>
          <w:bCs/>
          <w:sz w:val="24"/>
          <w:szCs w:val="24"/>
        </w:rPr>
      </w:pPr>
      <w:r>
        <w:rPr>
          <w:rFonts w:ascii="Calibri" w:hAnsi="Calibri"/>
          <w:b/>
          <w:bCs/>
          <w:sz w:val="24"/>
          <w:szCs w:val="24"/>
        </w:rPr>
        <w:t>Title:</w:t>
      </w:r>
      <w:r>
        <w:rPr>
          <w:rFonts w:ascii="Calibri" w:hAnsi="Calibri"/>
          <w:b/>
          <w:bCs/>
          <w:sz w:val="24"/>
          <w:szCs w:val="24"/>
        </w:rPr>
        <w:tab/>
      </w:r>
      <w:bookmarkStart w:id="0" w:name="OLE_LINK3"/>
      <w:r>
        <w:rPr>
          <w:rFonts w:ascii="Calibri" w:hAnsi="Calibri"/>
          <w:b/>
          <w:bCs/>
          <w:sz w:val="24"/>
          <w:szCs w:val="24"/>
        </w:rPr>
        <w:t xml:space="preserve">Discussion on </w:t>
      </w:r>
      <w:r w:rsidR="00900896">
        <w:rPr>
          <w:rFonts w:ascii="Calibri" w:hAnsi="Calibri"/>
          <w:b/>
          <w:bCs/>
          <w:sz w:val="24"/>
          <w:szCs w:val="24"/>
        </w:rPr>
        <w:t>ephemeris usage</w:t>
      </w:r>
      <w:r>
        <w:rPr>
          <w:rFonts w:ascii="Calibri" w:hAnsi="Calibri"/>
          <w:b/>
          <w:bCs/>
          <w:sz w:val="24"/>
          <w:szCs w:val="24"/>
        </w:rPr>
        <w:t xml:space="preserve"> for NR NTN</w:t>
      </w:r>
      <w:bookmarkEnd w:id="0"/>
    </w:p>
    <w:p w14:paraId="5F9A1171" w14:textId="343AE2B2" w:rsidR="00316E1C" w:rsidRPr="00C60C90" w:rsidRDefault="00A27F2F" w:rsidP="00102610">
      <w:pPr>
        <w:pStyle w:val="CRCoverPage"/>
        <w:spacing w:after="60"/>
        <w:ind w:left="1987" w:hanging="1987"/>
        <w:rPr>
          <w:rFonts w:ascii="Calibri" w:eastAsia="Calibri" w:hAnsi="Calibri" w:cs="Calibri"/>
          <w:i/>
          <w:iCs/>
          <w:color w:val="C00000"/>
          <w:sz w:val="24"/>
          <w:szCs w:val="24"/>
          <w:u w:color="C00000"/>
        </w:rPr>
      </w:pPr>
      <w:r>
        <w:rPr>
          <w:rFonts w:ascii="Calibri" w:hAnsi="Calibri"/>
          <w:b/>
          <w:bCs/>
          <w:sz w:val="24"/>
          <w:szCs w:val="24"/>
        </w:rPr>
        <w:t>Source:</w:t>
      </w:r>
      <w:r>
        <w:rPr>
          <w:rFonts w:ascii="Calibri" w:hAnsi="Calibri"/>
          <w:b/>
          <w:bCs/>
          <w:sz w:val="24"/>
          <w:szCs w:val="24"/>
        </w:rPr>
        <w:tab/>
      </w:r>
      <w:proofErr w:type="spellStart"/>
      <w:r>
        <w:rPr>
          <w:rFonts w:ascii="Calibri" w:hAnsi="Calibri"/>
          <w:b/>
          <w:bCs/>
          <w:sz w:val="24"/>
          <w:szCs w:val="24"/>
        </w:rPr>
        <w:t>Turkcell</w:t>
      </w:r>
      <w:proofErr w:type="spellEnd"/>
      <w:r>
        <w:rPr>
          <w:rFonts w:ascii="Calibri" w:hAnsi="Calibri"/>
          <w:b/>
          <w:bCs/>
          <w:sz w:val="24"/>
          <w:szCs w:val="24"/>
        </w:rPr>
        <w:t>,</w:t>
      </w:r>
      <w:r w:rsidR="008B11D6" w:rsidRPr="008B11D6">
        <w:rPr>
          <w:rFonts w:ascii="Calibri" w:hAnsi="Calibri"/>
          <w:b/>
          <w:bCs/>
          <w:sz w:val="24"/>
          <w:szCs w:val="24"/>
        </w:rPr>
        <w:t xml:space="preserve"> </w:t>
      </w:r>
      <w:r w:rsidR="008B11D6">
        <w:rPr>
          <w:rFonts w:ascii="Calibri" w:hAnsi="Calibri"/>
          <w:b/>
          <w:bCs/>
          <w:sz w:val="24"/>
          <w:szCs w:val="24"/>
        </w:rPr>
        <w:t>Deutsche Telekom</w:t>
      </w:r>
    </w:p>
    <w:p w14:paraId="349C0D8F" w14:textId="77777777" w:rsidR="00316E1C" w:rsidRDefault="00A27F2F" w:rsidP="00102610">
      <w:pPr>
        <w:pStyle w:val="CRCoverPage"/>
        <w:spacing w:after="60"/>
        <w:ind w:left="1987" w:hanging="1987"/>
        <w:rPr>
          <w:rFonts w:ascii="Calibri" w:eastAsia="Calibri" w:hAnsi="Calibri" w:cs="Calibri"/>
          <w:b/>
          <w:bCs/>
          <w:sz w:val="24"/>
          <w:szCs w:val="24"/>
        </w:rPr>
      </w:pPr>
      <w:bookmarkStart w:id="1" w:name="OLE_LINK1"/>
      <w:r>
        <w:rPr>
          <w:rFonts w:ascii="Calibri" w:hAnsi="Calibri"/>
          <w:b/>
          <w:bCs/>
          <w:sz w:val="24"/>
          <w:szCs w:val="24"/>
        </w:rPr>
        <w:t>T</w:t>
      </w:r>
      <w:bookmarkStart w:id="2" w:name="OLE_LINK2"/>
      <w:bookmarkEnd w:id="1"/>
      <w:r>
        <w:rPr>
          <w:rFonts w:ascii="Calibri" w:hAnsi="Calibri"/>
          <w:b/>
          <w:bCs/>
          <w:sz w:val="24"/>
          <w:szCs w:val="24"/>
        </w:rPr>
        <w:t xml:space="preserve">ype: </w:t>
      </w:r>
      <w:r>
        <w:rPr>
          <w:rFonts w:ascii="Calibri" w:hAnsi="Calibri"/>
          <w:b/>
          <w:bCs/>
          <w:sz w:val="24"/>
          <w:szCs w:val="24"/>
        </w:rPr>
        <w:tab/>
        <w:t>Discussion</w:t>
      </w:r>
    </w:p>
    <w:p w14:paraId="61C0F89F" w14:textId="77777777" w:rsidR="00316E1C" w:rsidRDefault="00A27F2F" w:rsidP="00102610">
      <w:pPr>
        <w:pStyle w:val="CRCoverPage"/>
        <w:spacing w:after="60"/>
        <w:ind w:left="1987" w:hanging="1987"/>
        <w:rPr>
          <w:rFonts w:ascii="Calibri" w:eastAsia="Calibri" w:hAnsi="Calibri" w:cs="Calibri"/>
          <w:b/>
          <w:bCs/>
          <w:sz w:val="24"/>
          <w:szCs w:val="24"/>
        </w:rPr>
      </w:pPr>
      <w:r>
        <w:rPr>
          <w:rFonts w:ascii="Calibri" w:hAnsi="Calibri"/>
          <w:b/>
          <w:bCs/>
          <w:sz w:val="24"/>
          <w:szCs w:val="24"/>
        </w:rPr>
        <w:t xml:space="preserve">Document for: </w:t>
      </w:r>
      <w:r>
        <w:rPr>
          <w:rFonts w:ascii="Calibri" w:hAnsi="Calibri"/>
          <w:b/>
          <w:bCs/>
          <w:sz w:val="24"/>
          <w:szCs w:val="24"/>
        </w:rPr>
        <w:tab/>
        <w:t>Decision</w:t>
      </w:r>
    </w:p>
    <w:p w14:paraId="430EC527" w14:textId="74E22670" w:rsidR="00316E1C" w:rsidRDefault="00A27F2F" w:rsidP="00102610">
      <w:pPr>
        <w:pStyle w:val="CRCoverPage"/>
        <w:spacing w:after="60"/>
        <w:ind w:left="1987" w:hanging="1987"/>
        <w:rPr>
          <w:rFonts w:ascii="Calibri" w:eastAsia="Calibri" w:hAnsi="Calibri" w:cs="Calibri"/>
          <w:b/>
          <w:bCs/>
          <w:sz w:val="24"/>
          <w:szCs w:val="24"/>
        </w:rPr>
      </w:pPr>
      <w:r>
        <w:rPr>
          <w:rFonts w:ascii="Calibri" w:hAnsi="Calibri"/>
          <w:b/>
          <w:bCs/>
          <w:sz w:val="24"/>
          <w:szCs w:val="24"/>
        </w:rPr>
        <w:t>Agenda Item:</w:t>
      </w:r>
      <w:r>
        <w:rPr>
          <w:rFonts w:ascii="Calibri" w:hAnsi="Calibri"/>
          <w:b/>
          <w:bCs/>
          <w:sz w:val="24"/>
          <w:szCs w:val="24"/>
        </w:rPr>
        <w:tab/>
        <w:t>8.</w:t>
      </w:r>
      <w:r w:rsidR="009A05D3">
        <w:rPr>
          <w:rFonts w:ascii="Calibri" w:hAnsi="Calibri"/>
          <w:b/>
          <w:bCs/>
          <w:sz w:val="24"/>
          <w:szCs w:val="24"/>
        </w:rPr>
        <w:t>7</w:t>
      </w:r>
      <w:r>
        <w:rPr>
          <w:rFonts w:ascii="Calibri" w:hAnsi="Calibri"/>
          <w:b/>
          <w:bCs/>
          <w:sz w:val="24"/>
          <w:szCs w:val="24"/>
        </w:rPr>
        <w:t>.</w:t>
      </w:r>
      <w:r w:rsidR="009A05D3">
        <w:rPr>
          <w:rFonts w:ascii="Calibri" w:hAnsi="Calibri"/>
          <w:b/>
          <w:bCs/>
          <w:sz w:val="24"/>
          <w:szCs w:val="24"/>
        </w:rPr>
        <w:t>4</w:t>
      </w:r>
      <w:r>
        <w:rPr>
          <w:rFonts w:ascii="Calibri" w:hAnsi="Calibri"/>
          <w:b/>
          <w:bCs/>
          <w:sz w:val="24"/>
          <w:szCs w:val="24"/>
        </w:rPr>
        <w:t xml:space="preserve"> </w:t>
      </w:r>
      <w:r w:rsidR="009A05D3" w:rsidRPr="009A05D3">
        <w:rPr>
          <w:rFonts w:ascii="Calibri" w:hAnsi="Calibri"/>
          <w:b/>
          <w:bCs/>
          <w:sz w:val="24"/>
          <w:szCs w:val="24"/>
        </w:rPr>
        <w:t>NTN-TN and NTN-NTN mobility and service continuity enhancements</w:t>
      </w:r>
    </w:p>
    <w:p w14:paraId="28AE3765" w14:textId="76B3161F" w:rsidR="00316E1C" w:rsidRDefault="00A27F2F" w:rsidP="00102610">
      <w:pPr>
        <w:pStyle w:val="CRCoverPage"/>
        <w:spacing w:after="60"/>
        <w:ind w:left="1987" w:hanging="1987"/>
        <w:rPr>
          <w:rFonts w:ascii="Calibri" w:eastAsia="Calibri" w:hAnsi="Calibri" w:cs="Calibri"/>
          <w:b/>
          <w:bCs/>
          <w:sz w:val="24"/>
          <w:szCs w:val="24"/>
        </w:rPr>
      </w:pPr>
      <w:r>
        <w:rPr>
          <w:rFonts w:ascii="Calibri" w:hAnsi="Calibri"/>
          <w:b/>
          <w:bCs/>
          <w:sz w:val="24"/>
          <w:szCs w:val="24"/>
        </w:rPr>
        <w:t xml:space="preserve">Release: </w:t>
      </w:r>
      <w:r>
        <w:rPr>
          <w:rFonts w:ascii="Calibri" w:hAnsi="Calibri"/>
          <w:b/>
          <w:bCs/>
          <w:sz w:val="24"/>
          <w:szCs w:val="24"/>
        </w:rPr>
        <w:tab/>
        <w:t>1</w:t>
      </w:r>
      <w:bookmarkEnd w:id="2"/>
      <w:r w:rsidR="009A05D3">
        <w:rPr>
          <w:rFonts w:ascii="Calibri" w:hAnsi="Calibri"/>
          <w:b/>
          <w:bCs/>
          <w:sz w:val="24"/>
          <w:szCs w:val="24"/>
        </w:rPr>
        <w:t>8</w:t>
      </w:r>
    </w:p>
    <w:p w14:paraId="73A61A9E" w14:textId="77777777" w:rsidR="00B80DE8" w:rsidRDefault="00B80DE8" w:rsidP="00102610">
      <w:pPr>
        <w:pStyle w:val="KonuBalA"/>
      </w:pPr>
    </w:p>
    <w:p w14:paraId="3E8FE972" w14:textId="67F66C50" w:rsidR="00316E1C" w:rsidRDefault="00A27F2F" w:rsidP="00102610">
      <w:pPr>
        <w:pStyle w:val="KonuBalA"/>
      </w:pPr>
      <w:r>
        <w:t>1 Introduction</w:t>
      </w:r>
    </w:p>
    <w:p w14:paraId="31FB8664" w14:textId="0850E748" w:rsidR="00316E1C" w:rsidRDefault="00A27F2F" w:rsidP="00102610">
      <w:pPr>
        <w:pStyle w:val="GvdeA"/>
        <w:rPr>
          <w:sz w:val="24"/>
          <w:szCs w:val="24"/>
        </w:rPr>
      </w:pPr>
      <w:r>
        <w:rPr>
          <w:sz w:val="24"/>
          <w:szCs w:val="24"/>
        </w:rPr>
        <w:t xml:space="preserve">During the NR-NTN </w:t>
      </w:r>
      <w:r w:rsidR="00045B3F">
        <w:rPr>
          <w:sz w:val="24"/>
          <w:szCs w:val="24"/>
        </w:rPr>
        <w:t>Rel 17 Work</w:t>
      </w:r>
      <w:r>
        <w:rPr>
          <w:sz w:val="24"/>
          <w:szCs w:val="24"/>
        </w:rPr>
        <w:t xml:space="preserve"> Item (</w:t>
      </w:r>
      <w:r w:rsidR="00045B3F">
        <w:rPr>
          <w:sz w:val="24"/>
          <w:szCs w:val="24"/>
        </w:rPr>
        <w:t>W</w:t>
      </w:r>
      <w:r>
        <w:rPr>
          <w:sz w:val="24"/>
          <w:szCs w:val="24"/>
        </w:rPr>
        <w:t xml:space="preserve">I), the impact of </w:t>
      </w:r>
      <w:r w:rsidR="00DE0388">
        <w:rPr>
          <w:sz w:val="24"/>
          <w:szCs w:val="24"/>
        </w:rPr>
        <w:t>ephemeris usage</w:t>
      </w:r>
      <w:r>
        <w:rPr>
          <w:sz w:val="24"/>
          <w:szCs w:val="24"/>
        </w:rPr>
        <w:t xml:space="preserve"> on the idle</w:t>
      </w:r>
      <w:r w:rsidR="00045B3F">
        <w:rPr>
          <w:sz w:val="24"/>
          <w:szCs w:val="24"/>
        </w:rPr>
        <w:t xml:space="preserve"> and active</w:t>
      </w:r>
      <w:r>
        <w:rPr>
          <w:sz w:val="24"/>
          <w:szCs w:val="24"/>
          <w:lang w:val="fr-FR"/>
        </w:rPr>
        <w:t xml:space="preserve"> mode </w:t>
      </w:r>
      <w:r>
        <w:rPr>
          <w:sz w:val="24"/>
          <w:szCs w:val="24"/>
        </w:rPr>
        <w:t xml:space="preserve">procedures </w:t>
      </w:r>
      <w:r w:rsidR="00A3428F">
        <w:rPr>
          <w:sz w:val="24"/>
          <w:szCs w:val="24"/>
        </w:rPr>
        <w:t>has</w:t>
      </w:r>
      <w:r>
        <w:rPr>
          <w:sz w:val="24"/>
          <w:szCs w:val="24"/>
        </w:rPr>
        <w:t xml:space="preserve"> been discussed. It was recommended in</w:t>
      </w:r>
      <w:r w:rsidR="000D4C8B">
        <w:rPr>
          <w:sz w:val="24"/>
          <w:szCs w:val="24"/>
        </w:rPr>
        <w:t xml:space="preserve"> </w:t>
      </w:r>
      <w:r w:rsidR="00CF4A8C">
        <w:rPr>
          <w:sz w:val="24"/>
          <w:szCs w:val="24"/>
        </w:rPr>
        <w:t xml:space="preserve">RAN2 </w:t>
      </w:r>
      <w:r w:rsidR="00AD31A4">
        <w:rPr>
          <w:sz w:val="24"/>
          <w:szCs w:val="24"/>
        </w:rPr>
        <w:t>#117-e</w:t>
      </w:r>
      <w:r>
        <w:rPr>
          <w:sz w:val="24"/>
          <w:szCs w:val="24"/>
        </w:rPr>
        <w:t xml:space="preserve"> that improvements might be needed for efficient idle/inactive mode mobility in </w:t>
      </w:r>
      <w:r w:rsidR="00AD31A4">
        <w:rPr>
          <w:sz w:val="24"/>
          <w:szCs w:val="24"/>
        </w:rPr>
        <w:t>Rel-18</w:t>
      </w:r>
      <w:r>
        <w:rPr>
          <w:sz w:val="24"/>
          <w:szCs w:val="24"/>
        </w:rPr>
        <w:t xml:space="preserve">. The below highlights the major RAN2 recommendations for </w:t>
      </w:r>
      <w:r w:rsidR="00AD31A4">
        <w:rPr>
          <w:sz w:val="24"/>
          <w:szCs w:val="24"/>
        </w:rPr>
        <w:t>ephemeris</w:t>
      </w:r>
      <w:r>
        <w:rPr>
          <w:sz w:val="24"/>
          <w:szCs w:val="24"/>
        </w:rPr>
        <w:t xml:space="preserve"> in NR-NTN.</w:t>
      </w:r>
    </w:p>
    <w:p w14:paraId="0C9CF88D" w14:textId="22C57B5E" w:rsidR="00F8272E" w:rsidRDefault="00F8272E" w:rsidP="00102610">
      <w:pPr>
        <w:pStyle w:val="GvdeA"/>
        <w:rPr>
          <w:sz w:val="24"/>
          <w:szCs w:val="24"/>
        </w:rPr>
      </w:pPr>
      <w:r>
        <w:rPr>
          <w:sz w:val="24"/>
          <w:szCs w:val="24"/>
        </w:rPr>
        <w:t xml:space="preserve">From RAN2 #118-e [1], the agreements related to AI 6.10.3.1 </w:t>
      </w:r>
      <w:r w:rsidRPr="00F8272E">
        <w:rPr>
          <w:sz w:val="24"/>
          <w:szCs w:val="24"/>
        </w:rPr>
        <w:t>Idle/inactive mode aspects</w:t>
      </w:r>
      <w:r>
        <w:rPr>
          <w:sz w:val="24"/>
          <w:szCs w:val="24"/>
        </w:rPr>
        <w:t xml:space="preserve"> are below: </w:t>
      </w:r>
    </w:p>
    <w:p w14:paraId="0D1A8032" w14:textId="77777777" w:rsidR="00CF4A8C" w:rsidRPr="00F8272E" w:rsidRDefault="00CF4A8C" w:rsidP="00102610">
      <w:pPr>
        <w:pStyle w:val="GvdeA"/>
        <w:rPr>
          <w:sz w:val="24"/>
          <w:szCs w:val="24"/>
        </w:rPr>
      </w:pPr>
    </w:p>
    <w:p w14:paraId="0D3A7445" w14:textId="77777777" w:rsidR="00F8272E" w:rsidRDefault="00F8272E" w:rsidP="00102610">
      <w:pPr>
        <w:pStyle w:val="Doc-text2"/>
        <w:pBdr>
          <w:top w:val="single" w:sz="4" w:space="1" w:color="auto"/>
          <w:left w:val="single" w:sz="4" w:space="4" w:color="auto"/>
          <w:bottom w:val="single" w:sz="4" w:space="1" w:color="auto"/>
          <w:right w:val="single" w:sz="4" w:space="4" w:color="auto"/>
        </w:pBdr>
        <w:ind w:left="363"/>
        <w:jc w:val="both"/>
      </w:pPr>
      <w:r>
        <w:t>Agreements:</w:t>
      </w:r>
    </w:p>
    <w:p w14:paraId="168B2195" w14:textId="77777777" w:rsidR="00F8272E" w:rsidRPr="00E02ECE" w:rsidRDefault="00F8272E" w:rsidP="00102610">
      <w:pPr>
        <w:pStyle w:val="Doc-text2"/>
        <w:numPr>
          <w:ilvl w:val="0"/>
          <w:numId w:val="6"/>
        </w:numPr>
        <w:pBdr>
          <w:top w:val="single" w:sz="4" w:space="1" w:color="auto"/>
          <w:left w:val="single" w:sz="4" w:space="4" w:color="auto"/>
          <w:bottom w:val="single" w:sz="4" w:space="1" w:color="auto"/>
          <w:right w:val="single" w:sz="4" w:space="4" w:color="auto"/>
        </w:pBdr>
        <w:ind w:left="360"/>
        <w:jc w:val="both"/>
        <w:rPr>
          <w:highlight w:val="yellow"/>
        </w:rPr>
      </w:pPr>
      <w:r w:rsidRPr="00E02ECE">
        <w:rPr>
          <w:highlight w:val="yellow"/>
        </w:rPr>
        <w:t>Ephemeris, common TA parameters, epoch time and validity duration can be updated without invoking the SI modification procedure</w:t>
      </w:r>
    </w:p>
    <w:p w14:paraId="7294128A" w14:textId="77777777" w:rsidR="00F8272E" w:rsidRPr="00E02ECE" w:rsidRDefault="00F8272E" w:rsidP="00102610">
      <w:pPr>
        <w:pStyle w:val="Doc-text2"/>
        <w:numPr>
          <w:ilvl w:val="0"/>
          <w:numId w:val="6"/>
        </w:numPr>
        <w:pBdr>
          <w:top w:val="single" w:sz="4" w:space="1" w:color="auto"/>
          <w:left w:val="single" w:sz="4" w:space="4" w:color="auto"/>
          <w:bottom w:val="single" w:sz="4" w:space="1" w:color="auto"/>
          <w:right w:val="single" w:sz="4" w:space="4" w:color="auto"/>
        </w:pBdr>
        <w:ind w:left="360"/>
        <w:jc w:val="both"/>
        <w:rPr>
          <w:highlight w:val="yellow"/>
        </w:rPr>
      </w:pPr>
      <w:r w:rsidRPr="00E02ECE">
        <w:rPr>
          <w:highlight w:val="yellow"/>
        </w:rPr>
        <w:t>Regarding ephemeris, common TA parameters, epoch time and validity duration, UE considers the parameters as valid during validity duration, but the NW is not prevented from triggering the SI modification if there are major changes. No spec impact is introduced. RAN2 understands that the NW should not change validity duration alone</w:t>
      </w:r>
    </w:p>
    <w:p w14:paraId="696CB7BA" w14:textId="7522B73D" w:rsidR="00316E1C" w:rsidRPr="00F8272E" w:rsidRDefault="00F8272E" w:rsidP="00102610">
      <w:pPr>
        <w:pStyle w:val="Doc-text2"/>
        <w:numPr>
          <w:ilvl w:val="0"/>
          <w:numId w:val="6"/>
        </w:numPr>
        <w:pBdr>
          <w:top w:val="single" w:sz="4" w:space="1" w:color="auto"/>
          <w:left w:val="single" w:sz="4" w:space="4" w:color="auto"/>
          <w:bottom w:val="single" w:sz="4" w:space="1" w:color="auto"/>
          <w:right w:val="single" w:sz="4" w:space="4" w:color="auto"/>
        </w:pBdr>
        <w:ind w:left="360"/>
        <w:jc w:val="both"/>
      </w:pPr>
      <w:r>
        <w:t>On-demand SIB19 is not supported for UEs in RRC_CONNECTED state in NR NTN Rel-17</w:t>
      </w:r>
    </w:p>
    <w:p w14:paraId="78C26F2F" w14:textId="77777777" w:rsidR="006E5335" w:rsidRDefault="006E5335" w:rsidP="00102610">
      <w:pPr>
        <w:pStyle w:val="GvdeA"/>
        <w:rPr>
          <w:sz w:val="24"/>
          <w:szCs w:val="24"/>
        </w:rPr>
      </w:pPr>
    </w:p>
    <w:p w14:paraId="227B7750" w14:textId="4CB4B6BC" w:rsidR="006E5335" w:rsidRDefault="006E5335" w:rsidP="00102610">
      <w:pPr>
        <w:pStyle w:val="GvdeA"/>
        <w:rPr>
          <w:sz w:val="24"/>
          <w:szCs w:val="24"/>
        </w:rPr>
      </w:pPr>
      <w:r>
        <w:rPr>
          <w:sz w:val="24"/>
          <w:szCs w:val="24"/>
        </w:rPr>
        <w:t xml:space="preserve">From RAN2 #117-e [2], the agreements related to AI 8.10.3.1 </w:t>
      </w:r>
      <w:r w:rsidRPr="00F8272E">
        <w:rPr>
          <w:sz w:val="24"/>
          <w:szCs w:val="24"/>
        </w:rPr>
        <w:t>Idle/inactive mode aspects</w:t>
      </w:r>
      <w:r>
        <w:rPr>
          <w:sz w:val="24"/>
          <w:szCs w:val="24"/>
        </w:rPr>
        <w:t xml:space="preserve"> are at below: </w:t>
      </w:r>
    </w:p>
    <w:p w14:paraId="4BD32975" w14:textId="77777777" w:rsidR="00CF4A8C" w:rsidRPr="00F8272E" w:rsidRDefault="00CF4A8C" w:rsidP="00102610">
      <w:pPr>
        <w:pStyle w:val="GvdeA"/>
        <w:rPr>
          <w:sz w:val="24"/>
          <w:szCs w:val="24"/>
        </w:rPr>
      </w:pPr>
    </w:p>
    <w:p w14:paraId="5164A95D" w14:textId="77777777" w:rsidR="00950992" w:rsidRDefault="00950992" w:rsidP="00102610">
      <w:pPr>
        <w:pStyle w:val="Doc-text2"/>
        <w:pBdr>
          <w:top w:val="single" w:sz="4" w:space="1" w:color="auto"/>
          <w:left w:val="single" w:sz="4" w:space="4" w:color="auto"/>
          <w:bottom w:val="single" w:sz="4" w:space="1" w:color="auto"/>
          <w:right w:val="single" w:sz="4" w:space="4" w:color="auto"/>
        </w:pBdr>
        <w:ind w:left="0" w:firstLine="0"/>
        <w:jc w:val="both"/>
      </w:pPr>
      <w:r>
        <w:t>Agreements:</w:t>
      </w:r>
    </w:p>
    <w:p w14:paraId="1DC24448" w14:textId="77777777" w:rsidR="00950992" w:rsidRPr="00E02ECE" w:rsidRDefault="00950992" w:rsidP="00102610">
      <w:pPr>
        <w:pStyle w:val="Doc-text2"/>
        <w:numPr>
          <w:ilvl w:val="0"/>
          <w:numId w:val="9"/>
        </w:numPr>
        <w:pBdr>
          <w:top w:val="single" w:sz="4" w:space="1" w:color="auto"/>
          <w:left w:val="single" w:sz="4" w:space="4" w:color="auto"/>
          <w:bottom w:val="single" w:sz="4" w:space="1" w:color="auto"/>
          <w:right w:val="single" w:sz="4" w:space="4" w:color="auto"/>
        </w:pBdr>
        <w:jc w:val="both"/>
        <w:rPr>
          <w:highlight w:val="yellow"/>
        </w:rPr>
      </w:pPr>
      <w:r w:rsidRPr="00E02ECE">
        <w:rPr>
          <w:highlight w:val="yellow"/>
        </w:rPr>
        <w:t>Satellite ephemeris based cell reselection is represented by time and location based cell reselection. No further enhancement in this release for ephemeris based cell reselection.</w:t>
      </w:r>
    </w:p>
    <w:p w14:paraId="40C23C6C" w14:textId="77777777" w:rsidR="00950992" w:rsidRDefault="00950992" w:rsidP="00102610">
      <w:pPr>
        <w:pStyle w:val="Doc-text2"/>
        <w:numPr>
          <w:ilvl w:val="0"/>
          <w:numId w:val="9"/>
        </w:numPr>
        <w:pBdr>
          <w:top w:val="single" w:sz="4" w:space="1" w:color="auto"/>
          <w:left w:val="single" w:sz="4" w:space="4" w:color="auto"/>
          <w:bottom w:val="single" w:sz="4" w:space="1" w:color="auto"/>
          <w:right w:val="single" w:sz="4" w:space="4" w:color="auto"/>
        </w:pBdr>
        <w:jc w:val="both"/>
      </w:pPr>
      <w:r>
        <w:t>No further enhancement on cell reselection priority in NTN. Remove the corresponding FFS from 38.304 CR.</w:t>
      </w:r>
    </w:p>
    <w:p w14:paraId="7694D2E6" w14:textId="77777777" w:rsidR="00950992" w:rsidRDefault="00950992" w:rsidP="00102610">
      <w:pPr>
        <w:pStyle w:val="Doc-text2"/>
        <w:numPr>
          <w:ilvl w:val="0"/>
          <w:numId w:val="9"/>
        </w:numPr>
        <w:pBdr>
          <w:top w:val="single" w:sz="4" w:space="1" w:color="auto"/>
          <w:left w:val="single" w:sz="4" w:space="4" w:color="auto"/>
          <w:bottom w:val="single" w:sz="4" w:space="1" w:color="auto"/>
          <w:right w:val="single" w:sz="4" w:space="4" w:color="auto"/>
        </w:pBdr>
        <w:jc w:val="both"/>
      </w:pPr>
      <w:r>
        <w:t>No need to provide the timing information about the new upcoming cell for either earth fixed scenario or earth moving scenario in Rel-17.</w:t>
      </w:r>
    </w:p>
    <w:p w14:paraId="466BAF53" w14:textId="77777777" w:rsidR="00950992" w:rsidRDefault="00950992" w:rsidP="00102610">
      <w:pPr>
        <w:pStyle w:val="Doc-text2"/>
        <w:numPr>
          <w:ilvl w:val="0"/>
          <w:numId w:val="9"/>
        </w:numPr>
        <w:pBdr>
          <w:top w:val="single" w:sz="4" w:space="1" w:color="auto"/>
          <w:left w:val="single" w:sz="4" w:space="4" w:color="auto"/>
          <w:bottom w:val="single" w:sz="4" w:space="1" w:color="auto"/>
          <w:right w:val="single" w:sz="4" w:space="4" w:color="auto"/>
        </w:pBdr>
        <w:jc w:val="both"/>
      </w:pPr>
      <w:r>
        <w:t>No further enhancement on cell reselection procedure to support TN prioritization over NTN in Rel-17.</w:t>
      </w:r>
    </w:p>
    <w:p w14:paraId="2C31E10A" w14:textId="77777777" w:rsidR="00950992" w:rsidRPr="00B63807" w:rsidRDefault="00950992" w:rsidP="00102610">
      <w:pPr>
        <w:pStyle w:val="Doc-text2"/>
        <w:numPr>
          <w:ilvl w:val="0"/>
          <w:numId w:val="9"/>
        </w:numPr>
        <w:pBdr>
          <w:top w:val="single" w:sz="4" w:space="1" w:color="auto"/>
          <w:left w:val="single" w:sz="4" w:space="4" w:color="auto"/>
          <w:bottom w:val="single" w:sz="4" w:space="1" w:color="auto"/>
          <w:right w:val="single" w:sz="4" w:space="4" w:color="auto"/>
        </w:pBdr>
        <w:jc w:val="both"/>
        <w:rPr>
          <w:highlight w:val="yellow"/>
        </w:rPr>
      </w:pPr>
      <w:r w:rsidRPr="00B63807">
        <w:rPr>
          <w:highlight w:val="yellow"/>
        </w:rPr>
        <w:t>RAN2 assumes that in addition to the ephemeris information, assistance information is needed for UE-based SMTC adjustment in idle and inactive mode. (FFS on the option to enable this)</w:t>
      </w:r>
    </w:p>
    <w:p w14:paraId="109306F7" w14:textId="77777777" w:rsidR="00950992" w:rsidRDefault="00950992" w:rsidP="00102610">
      <w:pPr>
        <w:pStyle w:val="Doc-text2"/>
        <w:numPr>
          <w:ilvl w:val="0"/>
          <w:numId w:val="9"/>
        </w:numPr>
        <w:pBdr>
          <w:top w:val="single" w:sz="4" w:space="1" w:color="auto"/>
          <w:left w:val="single" w:sz="4" w:space="4" w:color="auto"/>
          <w:bottom w:val="single" w:sz="4" w:space="1" w:color="auto"/>
          <w:right w:val="single" w:sz="4" w:space="4" w:color="auto"/>
        </w:pBdr>
        <w:jc w:val="both"/>
      </w:pPr>
      <w:r>
        <w:t>Adopt the text proposal in R2-2203725 to capture the location based cell reselection agreements in 38.304.</w:t>
      </w:r>
    </w:p>
    <w:p w14:paraId="737EEC66" w14:textId="77777777" w:rsidR="00950992" w:rsidRDefault="00950992" w:rsidP="00102610">
      <w:pPr>
        <w:pStyle w:val="Doc-text2"/>
        <w:pBdr>
          <w:top w:val="single" w:sz="4" w:space="1" w:color="auto"/>
          <w:left w:val="single" w:sz="4" w:space="4" w:color="auto"/>
          <w:bottom w:val="single" w:sz="4" w:space="1" w:color="auto"/>
          <w:right w:val="single" w:sz="4" w:space="4" w:color="auto"/>
        </w:pBdr>
        <w:ind w:left="0" w:firstLine="0"/>
        <w:jc w:val="both"/>
      </w:pPr>
      <w:r>
        <w:lastRenderedPageBreak/>
        <w:t>Working Assumption:</w:t>
      </w:r>
    </w:p>
    <w:p w14:paraId="39AB4670" w14:textId="5ECFB80B" w:rsidR="006E5335" w:rsidRPr="00DE0388" w:rsidRDefault="00950992" w:rsidP="00102610">
      <w:pPr>
        <w:pStyle w:val="Doc-text2"/>
        <w:numPr>
          <w:ilvl w:val="0"/>
          <w:numId w:val="10"/>
        </w:numPr>
        <w:pBdr>
          <w:top w:val="single" w:sz="4" w:space="1" w:color="auto"/>
          <w:left w:val="single" w:sz="4" w:space="4" w:color="auto"/>
          <w:bottom w:val="single" w:sz="4" w:space="1" w:color="auto"/>
          <w:right w:val="single" w:sz="4" w:space="4" w:color="auto"/>
        </w:pBdr>
        <w:jc w:val="both"/>
      </w:pPr>
      <w:r>
        <w:t>T</w:t>
      </w:r>
      <w:r w:rsidRPr="00052023">
        <w:t xml:space="preserve">o prevent non-NTN capable UE from </w:t>
      </w:r>
      <w:r>
        <w:t xml:space="preserve">accessing an NTN cell in Rel-17, for NR-NTN RAN2 follows a similar solution as in IoT-NTN (FFS on the details and whether this is always needed or not). </w:t>
      </w:r>
    </w:p>
    <w:p w14:paraId="140C1CAE" w14:textId="77777777" w:rsidR="00316E1C" w:rsidRDefault="00316E1C" w:rsidP="00102610">
      <w:pPr>
        <w:pStyle w:val="GvdeA"/>
      </w:pPr>
    </w:p>
    <w:p w14:paraId="2FB4F9CE" w14:textId="1A642245" w:rsidR="00316E1C" w:rsidRDefault="00D15960" w:rsidP="00102610">
      <w:pPr>
        <w:pStyle w:val="GvdeA"/>
        <w:rPr>
          <w:sz w:val="22"/>
          <w:szCs w:val="22"/>
        </w:rPr>
      </w:pPr>
      <w:r>
        <w:rPr>
          <w:sz w:val="24"/>
          <w:szCs w:val="24"/>
        </w:rPr>
        <w:t xml:space="preserve">This contribution provides recommendations </w:t>
      </w:r>
      <w:bookmarkStart w:id="3" w:name="_Hlk53753240"/>
      <w:r>
        <w:rPr>
          <w:sz w:val="24"/>
          <w:szCs w:val="24"/>
        </w:rPr>
        <w:t xml:space="preserve">for satellite ephemeris in </w:t>
      </w:r>
      <w:r w:rsidR="00E02ECE">
        <w:rPr>
          <w:sz w:val="24"/>
          <w:szCs w:val="24"/>
        </w:rPr>
        <w:t xml:space="preserve">active and </w:t>
      </w:r>
      <w:r>
        <w:rPr>
          <w:sz w:val="24"/>
          <w:szCs w:val="24"/>
        </w:rPr>
        <w:t xml:space="preserve">idle/inactive </w:t>
      </w:r>
      <w:r>
        <w:rPr>
          <w:sz w:val="24"/>
          <w:szCs w:val="24"/>
          <w:lang w:val="fr-FR"/>
        </w:rPr>
        <w:t xml:space="preserve">mode </w:t>
      </w:r>
      <w:proofErr w:type="spellStart"/>
      <w:r>
        <w:rPr>
          <w:sz w:val="24"/>
          <w:szCs w:val="24"/>
          <w:lang w:val="fr-FR"/>
        </w:rPr>
        <w:t>operations</w:t>
      </w:r>
      <w:proofErr w:type="spellEnd"/>
      <w:r>
        <w:rPr>
          <w:sz w:val="24"/>
          <w:szCs w:val="24"/>
          <w:lang w:val="fr-FR"/>
        </w:rPr>
        <w:t>.</w:t>
      </w:r>
      <w:bookmarkEnd w:id="3"/>
    </w:p>
    <w:p w14:paraId="717D875F" w14:textId="77777777" w:rsidR="00B80DE8" w:rsidRDefault="00B80DE8" w:rsidP="00102610">
      <w:pPr>
        <w:pStyle w:val="KonuBalA"/>
        <w:rPr>
          <w:lang w:val="en-US"/>
        </w:rPr>
      </w:pPr>
    </w:p>
    <w:p w14:paraId="4CE02F53" w14:textId="37D495A4" w:rsidR="00316E1C" w:rsidRDefault="00A27F2F" w:rsidP="00102610">
      <w:pPr>
        <w:pStyle w:val="KonuBalA"/>
        <w:rPr>
          <w:lang w:val="en-US"/>
        </w:rPr>
      </w:pPr>
      <w:r>
        <w:rPr>
          <w:lang w:val="en-US"/>
        </w:rPr>
        <w:t>2 Discussion</w:t>
      </w:r>
    </w:p>
    <w:p w14:paraId="4F8454AC" w14:textId="77777777" w:rsidR="00316E1C" w:rsidRDefault="00A27F2F" w:rsidP="00102610">
      <w:pPr>
        <w:pStyle w:val="KonuBal2A"/>
        <w:jc w:val="both"/>
      </w:pPr>
      <w:r>
        <w:t>2.1 System Information</w:t>
      </w:r>
    </w:p>
    <w:p w14:paraId="06EDC9BC" w14:textId="5D96B605" w:rsidR="007319CE" w:rsidRPr="007319CE" w:rsidRDefault="002B70A8" w:rsidP="00102610">
      <w:pPr>
        <w:pStyle w:val="GvdeA"/>
        <w:rPr>
          <w:sz w:val="24"/>
          <w:szCs w:val="24"/>
        </w:rPr>
      </w:pPr>
      <w:r>
        <w:rPr>
          <w:sz w:val="24"/>
          <w:szCs w:val="24"/>
        </w:rPr>
        <w:t xml:space="preserve">The serving </w:t>
      </w:r>
      <w:r w:rsidR="00001B29">
        <w:rPr>
          <w:sz w:val="24"/>
          <w:szCs w:val="24"/>
        </w:rPr>
        <w:t xml:space="preserve">and </w:t>
      </w:r>
      <w:proofErr w:type="spellStart"/>
      <w:r w:rsidR="00001B29">
        <w:rPr>
          <w:sz w:val="24"/>
          <w:szCs w:val="24"/>
        </w:rPr>
        <w:t>neighbour</w:t>
      </w:r>
      <w:proofErr w:type="spellEnd"/>
      <w:r w:rsidR="00001B29">
        <w:rPr>
          <w:sz w:val="24"/>
          <w:szCs w:val="24"/>
        </w:rPr>
        <w:t xml:space="preserve"> </w:t>
      </w:r>
      <w:r>
        <w:rPr>
          <w:sz w:val="24"/>
          <w:szCs w:val="24"/>
        </w:rPr>
        <w:t xml:space="preserve">satellite’s ephemeris </w:t>
      </w:r>
      <w:r w:rsidR="00001B29">
        <w:rPr>
          <w:sz w:val="24"/>
          <w:szCs w:val="24"/>
        </w:rPr>
        <w:t>can</w:t>
      </w:r>
      <w:r>
        <w:rPr>
          <w:sz w:val="24"/>
          <w:szCs w:val="24"/>
        </w:rPr>
        <w:t xml:space="preserve"> include </w:t>
      </w:r>
      <w:r w:rsidR="00001B29">
        <w:rPr>
          <w:sz w:val="24"/>
          <w:szCs w:val="24"/>
        </w:rPr>
        <w:t xml:space="preserve">different parameters such as </w:t>
      </w:r>
      <w:r>
        <w:rPr>
          <w:sz w:val="24"/>
          <w:szCs w:val="24"/>
        </w:rPr>
        <w:t>p</w:t>
      </w:r>
      <w:r w:rsidRPr="007319CE">
        <w:rPr>
          <w:sz w:val="24"/>
          <w:szCs w:val="24"/>
        </w:rPr>
        <w:t>osition</w:t>
      </w:r>
      <w:r>
        <w:rPr>
          <w:sz w:val="24"/>
          <w:szCs w:val="24"/>
        </w:rPr>
        <w:t xml:space="preserve">, </w:t>
      </w:r>
      <w:r w:rsidRPr="007319CE">
        <w:rPr>
          <w:sz w:val="24"/>
          <w:szCs w:val="24"/>
        </w:rPr>
        <w:t>velocity state vector</w:t>
      </w:r>
      <w:r>
        <w:rPr>
          <w:sz w:val="24"/>
          <w:szCs w:val="24"/>
        </w:rPr>
        <w:t xml:space="preserve"> and </w:t>
      </w:r>
      <w:r w:rsidRPr="007319CE">
        <w:rPr>
          <w:sz w:val="24"/>
          <w:szCs w:val="24"/>
        </w:rPr>
        <w:t>orbital parameters</w:t>
      </w:r>
      <w:r>
        <w:rPr>
          <w:sz w:val="24"/>
          <w:szCs w:val="24"/>
        </w:rPr>
        <w:t xml:space="preserve">. </w:t>
      </w:r>
      <w:proofErr w:type="spellStart"/>
      <w:r w:rsidR="00344F77">
        <w:rPr>
          <w:sz w:val="24"/>
          <w:szCs w:val="24"/>
        </w:rPr>
        <w:t>Neighbour</w:t>
      </w:r>
      <w:proofErr w:type="spellEnd"/>
      <w:r w:rsidR="00344F77">
        <w:rPr>
          <w:sz w:val="24"/>
          <w:szCs w:val="24"/>
        </w:rPr>
        <w:t xml:space="preserve"> cells of the same satellite and orbit can share the same parameters. It may not need to provide the </w:t>
      </w:r>
      <w:r w:rsidR="00D15960">
        <w:rPr>
          <w:sz w:val="24"/>
          <w:szCs w:val="24"/>
        </w:rPr>
        <w:t>entire</w:t>
      </w:r>
      <w:r w:rsidR="00344F77">
        <w:rPr>
          <w:sz w:val="24"/>
          <w:szCs w:val="24"/>
        </w:rPr>
        <w:t xml:space="preserve"> </w:t>
      </w:r>
      <w:r w:rsidR="007319CE" w:rsidRPr="002B70A8">
        <w:rPr>
          <w:sz w:val="24"/>
          <w:szCs w:val="24"/>
        </w:rPr>
        <w:t>configuration for each cell separately</w:t>
      </w:r>
      <w:r w:rsidR="007319CE">
        <w:rPr>
          <w:sz w:val="24"/>
          <w:szCs w:val="24"/>
        </w:rPr>
        <w:t>. P</w:t>
      </w:r>
      <w:r w:rsidR="007319CE" w:rsidRPr="007319CE">
        <w:rPr>
          <w:sz w:val="24"/>
          <w:szCs w:val="24"/>
        </w:rPr>
        <w:t xml:space="preserve">arameters included in system information as part of ephemeris can be individually configured to be enabled or disabled.  </w:t>
      </w:r>
    </w:p>
    <w:p w14:paraId="6CD2F4AF" w14:textId="77777777" w:rsidR="007319CE" w:rsidRPr="007319CE" w:rsidRDefault="007319CE" w:rsidP="00102610">
      <w:pPr>
        <w:pStyle w:val="GvdeA"/>
        <w:rPr>
          <w:sz w:val="24"/>
          <w:szCs w:val="24"/>
        </w:rPr>
      </w:pPr>
    </w:p>
    <w:p w14:paraId="37ED7C76" w14:textId="52A3358A" w:rsidR="007319CE" w:rsidRDefault="007319CE" w:rsidP="00102610">
      <w:pPr>
        <w:pStyle w:val="GvdeA"/>
        <w:rPr>
          <w:sz w:val="24"/>
          <w:szCs w:val="24"/>
        </w:rPr>
      </w:pPr>
      <w:r w:rsidRPr="007319CE">
        <w:rPr>
          <w:b/>
          <w:bCs/>
          <w:sz w:val="24"/>
          <w:szCs w:val="24"/>
        </w:rPr>
        <w:t xml:space="preserve">Observation 1: </w:t>
      </w:r>
      <w:r w:rsidRPr="007319CE">
        <w:rPr>
          <w:sz w:val="24"/>
          <w:szCs w:val="24"/>
        </w:rPr>
        <w:t>Ephemeris parameters for the cells from the same satellite, orbit or constellation may be the same. Using delta configuration can reduce the number of bits.</w:t>
      </w:r>
    </w:p>
    <w:p w14:paraId="73D57F8E" w14:textId="11A4E67C" w:rsidR="00001B29" w:rsidRDefault="00001B29" w:rsidP="00102610">
      <w:pPr>
        <w:pStyle w:val="GvdeA"/>
        <w:rPr>
          <w:sz w:val="24"/>
          <w:szCs w:val="24"/>
        </w:rPr>
      </w:pPr>
    </w:p>
    <w:p w14:paraId="4CC240DC" w14:textId="52179BA2" w:rsidR="00FF7F44" w:rsidRPr="00FF7F44" w:rsidRDefault="00FF7F44" w:rsidP="00102610">
      <w:pPr>
        <w:pStyle w:val="GvdeA"/>
        <w:rPr>
          <w:sz w:val="24"/>
          <w:szCs w:val="24"/>
        </w:rPr>
      </w:pPr>
      <w:r w:rsidRPr="00FF7F44">
        <w:rPr>
          <w:sz w:val="24"/>
          <w:szCs w:val="24"/>
        </w:rPr>
        <w:t xml:space="preserve">Many </w:t>
      </w:r>
      <w:proofErr w:type="spellStart"/>
      <w:r w:rsidR="008B11D6">
        <w:rPr>
          <w:sz w:val="24"/>
          <w:szCs w:val="24"/>
        </w:rPr>
        <w:t>neighbour</w:t>
      </w:r>
      <w:proofErr w:type="spellEnd"/>
      <w:r w:rsidR="001A484A">
        <w:rPr>
          <w:sz w:val="24"/>
          <w:szCs w:val="24"/>
        </w:rPr>
        <w:t xml:space="preserve"> cells of </w:t>
      </w:r>
      <w:r w:rsidR="00632CB7">
        <w:rPr>
          <w:sz w:val="24"/>
          <w:szCs w:val="24"/>
        </w:rPr>
        <w:t xml:space="preserve">the same satellite and orbit </w:t>
      </w:r>
      <w:r w:rsidRPr="00FF7F44">
        <w:rPr>
          <w:sz w:val="24"/>
          <w:szCs w:val="24"/>
        </w:rPr>
        <w:t>can share the same orbital parameters</w:t>
      </w:r>
      <w:r w:rsidR="00632CB7">
        <w:rPr>
          <w:sz w:val="24"/>
          <w:szCs w:val="24"/>
        </w:rPr>
        <w:t>.</w:t>
      </w:r>
      <w:r w:rsidRPr="00FF7F44">
        <w:rPr>
          <w:sz w:val="24"/>
          <w:szCs w:val="24"/>
        </w:rPr>
        <w:t xml:space="preserve"> </w:t>
      </w:r>
      <w:r w:rsidR="00632CB7">
        <w:rPr>
          <w:sz w:val="24"/>
          <w:szCs w:val="24"/>
        </w:rPr>
        <w:t>A</w:t>
      </w:r>
      <w:r w:rsidRPr="00FF7F44">
        <w:rPr>
          <w:sz w:val="24"/>
          <w:szCs w:val="24"/>
        </w:rPr>
        <w:t xml:space="preserve">n indication </w:t>
      </w:r>
      <w:r w:rsidR="00632CB7">
        <w:rPr>
          <w:sz w:val="24"/>
          <w:szCs w:val="24"/>
        </w:rPr>
        <w:t xml:space="preserve">can be used </w:t>
      </w:r>
      <w:r w:rsidRPr="00FF7F44">
        <w:rPr>
          <w:sz w:val="24"/>
          <w:szCs w:val="24"/>
        </w:rPr>
        <w:t xml:space="preserve">either for intra-frequency or inter-frequency </w:t>
      </w:r>
      <w:proofErr w:type="spellStart"/>
      <w:r w:rsidRPr="00FF7F44">
        <w:rPr>
          <w:sz w:val="24"/>
          <w:szCs w:val="24"/>
        </w:rPr>
        <w:t>neighbours</w:t>
      </w:r>
      <w:proofErr w:type="spellEnd"/>
      <w:r w:rsidRPr="00FF7F44">
        <w:rPr>
          <w:sz w:val="24"/>
          <w:szCs w:val="24"/>
        </w:rPr>
        <w:t xml:space="preserve"> that orbital parameters are the same as for the serving cell</w:t>
      </w:r>
      <w:r w:rsidR="000F5154">
        <w:rPr>
          <w:sz w:val="24"/>
          <w:szCs w:val="24"/>
        </w:rPr>
        <w:t>.</w:t>
      </w:r>
      <w:r w:rsidR="00876A85">
        <w:rPr>
          <w:sz w:val="24"/>
          <w:szCs w:val="24"/>
        </w:rPr>
        <w:t xml:space="preserve"> </w:t>
      </w:r>
      <w:r w:rsidR="00876A85" w:rsidRPr="00876A85">
        <w:rPr>
          <w:sz w:val="24"/>
          <w:szCs w:val="24"/>
        </w:rPr>
        <w:t>We have the following proposal:</w:t>
      </w:r>
    </w:p>
    <w:p w14:paraId="7E2AD88B" w14:textId="1E38F44C" w:rsidR="00FF7F44" w:rsidRDefault="00FF7F44" w:rsidP="00102610">
      <w:pPr>
        <w:pStyle w:val="GvdeA"/>
        <w:rPr>
          <w:sz w:val="24"/>
          <w:szCs w:val="24"/>
        </w:rPr>
      </w:pPr>
    </w:p>
    <w:p w14:paraId="1C8F5C3B" w14:textId="333223B8" w:rsidR="00FF7F44" w:rsidRDefault="00FF7F44" w:rsidP="00102610">
      <w:pPr>
        <w:pStyle w:val="GvdeA"/>
        <w:rPr>
          <w:sz w:val="24"/>
          <w:szCs w:val="24"/>
        </w:rPr>
      </w:pPr>
      <w:r>
        <w:rPr>
          <w:b/>
          <w:bCs/>
          <w:sz w:val="24"/>
          <w:szCs w:val="24"/>
        </w:rPr>
        <w:t>Proposal</w:t>
      </w:r>
      <w:r w:rsidRPr="007319CE">
        <w:rPr>
          <w:b/>
          <w:bCs/>
          <w:sz w:val="24"/>
          <w:szCs w:val="24"/>
        </w:rPr>
        <w:t xml:space="preserve"> 1: </w:t>
      </w:r>
      <w:r w:rsidR="008B11D6" w:rsidRPr="008B11D6">
        <w:rPr>
          <w:sz w:val="24"/>
          <w:szCs w:val="24"/>
        </w:rPr>
        <w:t>The neighbor cells of the same satellite and orbit</w:t>
      </w:r>
      <w:r w:rsidR="008B11D6" w:rsidRPr="008B11D6" w:rsidDel="008B11D6">
        <w:rPr>
          <w:sz w:val="24"/>
          <w:szCs w:val="24"/>
        </w:rPr>
        <w:t xml:space="preserve"> </w:t>
      </w:r>
      <w:r w:rsidR="009C541E">
        <w:rPr>
          <w:sz w:val="24"/>
          <w:szCs w:val="24"/>
        </w:rPr>
        <w:t>can</w:t>
      </w:r>
      <w:r w:rsidRPr="00FF7F44">
        <w:rPr>
          <w:sz w:val="24"/>
          <w:szCs w:val="24"/>
        </w:rPr>
        <w:t xml:space="preserve"> </w:t>
      </w:r>
      <w:r w:rsidR="009C541E">
        <w:rPr>
          <w:sz w:val="24"/>
          <w:szCs w:val="24"/>
        </w:rPr>
        <w:t>s</w:t>
      </w:r>
      <w:r w:rsidR="009C541E" w:rsidRPr="007319CE">
        <w:rPr>
          <w:sz w:val="24"/>
          <w:szCs w:val="24"/>
        </w:rPr>
        <w:t>upport</w:t>
      </w:r>
      <w:r w:rsidR="009C541E" w:rsidRPr="002B70A8">
        <w:rPr>
          <w:sz w:val="24"/>
          <w:szCs w:val="24"/>
        </w:rPr>
        <w:t xml:space="preserve"> </w:t>
      </w:r>
      <w:r w:rsidR="00D15960">
        <w:rPr>
          <w:sz w:val="24"/>
          <w:szCs w:val="24"/>
        </w:rPr>
        <w:t xml:space="preserve">the </w:t>
      </w:r>
      <w:r w:rsidR="009C541E" w:rsidRPr="002B70A8">
        <w:rPr>
          <w:sz w:val="24"/>
          <w:szCs w:val="24"/>
        </w:rPr>
        <w:t>delta configuration of the ephemeris information of the serving cell.</w:t>
      </w:r>
      <w:r w:rsidR="00957255">
        <w:rPr>
          <w:sz w:val="24"/>
          <w:szCs w:val="24"/>
        </w:rPr>
        <w:t xml:space="preserve"> We can use the partial</w:t>
      </w:r>
      <w:r w:rsidRPr="00FF7F44">
        <w:rPr>
          <w:sz w:val="24"/>
          <w:szCs w:val="24"/>
        </w:rPr>
        <w:t xml:space="preserve"> orbital parameters from </w:t>
      </w:r>
      <w:r w:rsidR="00B82E78">
        <w:rPr>
          <w:sz w:val="24"/>
          <w:szCs w:val="24"/>
        </w:rPr>
        <w:t>e</w:t>
      </w:r>
      <w:r w:rsidRPr="00FF7F44">
        <w:rPr>
          <w:sz w:val="24"/>
          <w:szCs w:val="24"/>
        </w:rPr>
        <w:t>phemeris</w:t>
      </w:r>
      <w:r w:rsidR="00B82E78">
        <w:rPr>
          <w:sz w:val="24"/>
          <w:szCs w:val="24"/>
        </w:rPr>
        <w:t xml:space="preserve"> i</w:t>
      </w:r>
      <w:r w:rsidRPr="00FF7F44">
        <w:rPr>
          <w:sz w:val="24"/>
          <w:szCs w:val="24"/>
        </w:rPr>
        <w:t>nfo of the serving cell</w:t>
      </w:r>
      <w:r w:rsidR="00957255">
        <w:rPr>
          <w:sz w:val="24"/>
          <w:szCs w:val="24"/>
        </w:rPr>
        <w:t xml:space="preserve">s </w:t>
      </w:r>
      <w:r w:rsidRPr="00FF7F44">
        <w:rPr>
          <w:sz w:val="24"/>
          <w:szCs w:val="24"/>
        </w:rPr>
        <w:t xml:space="preserve">indicated in </w:t>
      </w:r>
      <w:r w:rsidR="00B82E78">
        <w:rPr>
          <w:sz w:val="24"/>
          <w:szCs w:val="24"/>
        </w:rPr>
        <w:t>i</w:t>
      </w:r>
      <w:r w:rsidRPr="00FF7F44">
        <w:rPr>
          <w:sz w:val="24"/>
          <w:szCs w:val="24"/>
        </w:rPr>
        <w:t>ntra</w:t>
      </w:r>
      <w:r w:rsidR="0069236F">
        <w:rPr>
          <w:sz w:val="24"/>
          <w:szCs w:val="24"/>
        </w:rPr>
        <w:t>-frequency</w:t>
      </w:r>
      <w:r w:rsidR="00B82E78">
        <w:rPr>
          <w:sz w:val="24"/>
          <w:szCs w:val="24"/>
        </w:rPr>
        <w:t xml:space="preserve"> and </w:t>
      </w:r>
      <w:r w:rsidR="0069236F">
        <w:rPr>
          <w:sz w:val="24"/>
          <w:szCs w:val="24"/>
        </w:rPr>
        <w:t>inter-frequency</w:t>
      </w:r>
      <w:r w:rsidRPr="00FF7F44">
        <w:rPr>
          <w:sz w:val="24"/>
          <w:szCs w:val="24"/>
        </w:rPr>
        <w:t xml:space="preserve"> </w:t>
      </w:r>
      <w:proofErr w:type="spellStart"/>
      <w:r w:rsidRPr="00FF7F44">
        <w:rPr>
          <w:sz w:val="24"/>
          <w:szCs w:val="24"/>
        </w:rPr>
        <w:t>neighbours</w:t>
      </w:r>
      <w:proofErr w:type="spellEnd"/>
      <w:r w:rsidRPr="00FF7F44">
        <w:rPr>
          <w:sz w:val="24"/>
          <w:szCs w:val="24"/>
        </w:rPr>
        <w:t>.</w:t>
      </w:r>
    </w:p>
    <w:p w14:paraId="24F64788" w14:textId="77777777" w:rsidR="008811CC" w:rsidRPr="00102610" w:rsidRDefault="008811CC" w:rsidP="00102610">
      <w:pPr>
        <w:pStyle w:val="GvdeA"/>
        <w:rPr>
          <w:sz w:val="24"/>
          <w:szCs w:val="24"/>
        </w:rPr>
      </w:pPr>
    </w:p>
    <w:p w14:paraId="59B235ED" w14:textId="73849EAA" w:rsidR="00316E1C" w:rsidRPr="00262784" w:rsidRDefault="00102610" w:rsidP="00262784">
      <w:pPr>
        <w:pStyle w:val="GvdeA"/>
        <w:rPr>
          <w:sz w:val="24"/>
          <w:szCs w:val="24"/>
        </w:rPr>
      </w:pPr>
      <w:bookmarkStart w:id="4" w:name="_Hlk92617205"/>
      <w:r w:rsidRPr="00102610">
        <w:rPr>
          <w:sz w:val="24"/>
          <w:szCs w:val="24"/>
        </w:rPr>
        <w:t>Different parameters included in system information as part of ephemeris can be individually configured to be enabled or disabled</w:t>
      </w:r>
      <w:bookmarkEnd w:id="4"/>
      <w:r w:rsidRPr="00102610">
        <w:rPr>
          <w:sz w:val="24"/>
          <w:szCs w:val="24"/>
        </w:rPr>
        <w:t>. The power constraints of UEs become more critical with ephemeris update periodicity. Too frequent ephemeris updates can consume UE power unnecessarily.</w:t>
      </w:r>
      <w:r w:rsidR="00D842FD">
        <w:rPr>
          <w:sz w:val="24"/>
          <w:szCs w:val="24"/>
        </w:rPr>
        <w:t xml:space="preserve"> </w:t>
      </w:r>
      <w:r w:rsidRPr="00262784">
        <w:rPr>
          <w:sz w:val="24"/>
          <w:szCs w:val="24"/>
        </w:rPr>
        <w:t>A high number of SIB ephemeris update</w:t>
      </w:r>
      <w:r w:rsidR="002F03D0">
        <w:rPr>
          <w:sz w:val="24"/>
          <w:szCs w:val="24"/>
        </w:rPr>
        <w:t>s</w:t>
      </w:r>
      <w:r w:rsidRPr="00262784">
        <w:rPr>
          <w:sz w:val="24"/>
          <w:szCs w:val="24"/>
        </w:rPr>
        <w:t xml:space="preserve"> needs more frequent system information modifications. </w:t>
      </w:r>
    </w:p>
    <w:p w14:paraId="7CAC3D34" w14:textId="77777777" w:rsidR="00262784" w:rsidRDefault="00262784" w:rsidP="00102610">
      <w:pPr>
        <w:pStyle w:val="SaptanmA"/>
        <w:jc w:val="both"/>
        <w:rPr>
          <w:b/>
          <w:bCs/>
        </w:rPr>
      </w:pPr>
    </w:p>
    <w:p w14:paraId="609A9E06" w14:textId="0E8D51C1" w:rsidR="00876A85" w:rsidRDefault="00A27F2F" w:rsidP="00102610">
      <w:pPr>
        <w:pStyle w:val="SaptanmA"/>
        <w:jc w:val="both"/>
      </w:pPr>
      <w:r>
        <w:rPr>
          <w:b/>
          <w:bCs/>
        </w:rPr>
        <w:t xml:space="preserve">Observation </w:t>
      </w:r>
      <w:r w:rsidR="00D842FD">
        <w:rPr>
          <w:b/>
          <w:bCs/>
        </w:rPr>
        <w:t>2</w:t>
      </w:r>
      <w:r>
        <w:rPr>
          <w:b/>
          <w:bCs/>
        </w:rPr>
        <w:t xml:space="preserve">: </w:t>
      </w:r>
      <w:r>
        <w:t xml:space="preserve">Ephemeris parameters can have different validity duration requirements. Two </w:t>
      </w:r>
      <w:r w:rsidR="002F03D0">
        <w:t>other</w:t>
      </w:r>
      <w:r w:rsidR="00EE449C">
        <w:t>/different</w:t>
      </w:r>
      <w:r>
        <w:t xml:space="preserve"> mechanisms can address slowly and quickly changing parameters in the satellite ephemeris.</w:t>
      </w:r>
      <w:r w:rsidR="00D15960">
        <w:t xml:space="preserve"> </w:t>
      </w:r>
    </w:p>
    <w:p w14:paraId="5EBD3B47" w14:textId="77777777" w:rsidR="00876A85" w:rsidRDefault="00876A85" w:rsidP="00102610">
      <w:pPr>
        <w:pStyle w:val="SaptanmA"/>
        <w:jc w:val="both"/>
      </w:pPr>
    </w:p>
    <w:p w14:paraId="51C3B6DC" w14:textId="1C97E930" w:rsidR="00D15960" w:rsidRPr="00876A85" w:rsidRDefault="00A27F2F" w:rsidP="00102610">
      <w:pPr>
        <w:pStyle w:val="SaptanmA"/>
        <w:jc w:val="both"/>
      </w:pPr>
      <w:r>
        <w:rPr>
          <w:kern w:val="2"/>
        </w:rPr>
        <w:t>We have the following proposal:</w:t>
      </w:r>
    </w:p>
    <w:p w14:paraId="0D3A0152" w14:textId="25911838" w:rsidR="00316E1C" w:rsidRDefault="00563E23" w:rsidP="00102610">
      <w:pPr>
        <w:pStyle w:val="SaptanmA"/>
        <w:jc w:val="both"/>
      </w:pPr>
      <w:r>
        <w:rPr>
          <w:b/>
          <w:bCs/>
        </w:rPr>
        <w:lastRenderedPageBreak/>
        <w:t xml:space="preserve">Proposal 2: </w:t>
      </w:r>
      <w:r>
        <w:t xml:space="preserve">SIB ephemeris update can be triggered with defined fields in </w:t>
      </w:r>
      <w:r w:rsidR="00092088">
        <w:t>different</w:t>
      </w:r>
      <w:r>
        <w:t xml:space="preserve"> </w:t>
      </w:r>
      <w:r w:rsidR="00092088">
        <w:t>ephemeris parameters</w:t>
      </w:r>
      <w:r w:rsidR="0082100C">
        <w:t xml:space="preserve">, </w:t>
      </w:r>
      <w:r>
        <w:t>although a change on these parameters does not always imply a SIB update.</w:t>
      </w:r>
      <w:r w:rsidR="00D842FD">
        <w:t xml:space="preserve"> </w:t>
      </w:r>
      <w:r w:rsidR="00092088">
        <w:t>P</w:t>
      </w:r>
      <w:r>
        <w:t xml:space="preserve">arameters </w:t>
      </w:r>
      <w:r w:rsidR="001A484A">
        <w:t xml:space="preserve">may </w:t>
      </w:r>
      <w:r>
        <w:t xml:space="preserve">need </w:t>
      </w:r>
      <w:r w:rsidR="001061DA">
        <w:t>other</w:t>
      </w:r>
      <w:r>
        <w:t xml:space="preserve"> update times. We </w:t>
      </w:r>
      <w:r w:rsidR="00D842FD">
        <w:t>can</w:t>
      </w:r>
      <w:r>
        <w:t xml:space="preserve"> use different SIB trigger duration for slowly and quickly varying parameter</w:t>
      </w:r>
      <w:r w:rsidR="00092088">
        <w:t>s</w:t>
      </w:r>
      <w:r>
        <w:t>. We need to minimize the power consumption of UEs by using different maximum validity times of the satellite ephemeris without having acquired new satellite ephemeris.</w:t>
      </w:r>
    </w:p>
    <w:p w14:paraId="551028B4" w14:textId="77777777" w:rsidR="00B80DE8" w:rsidRDefault="00B80DE8" w:rsidP="00102610">
      <w:pPr>
        <w:pStyle w:val="KonuBalA"/>
        <w:rPr>
          <w:lang w:val="it-IT"/>
        </w:rPr>
      </w:pPr>
    </w:p>
    <w:p w14:paraId="0551533A" w14:textId="7E887C29" w:rsidR="00316E1C" w:rsidRDefault="00A27F2F" w:rsidP="00102610">
      <w:pPr>
        <w:pStyle w:val="KonuBalA"/>
        <w:rPr>
          <w:lang w:val="it-IT"/>
        </w:rPr>
      </w:pPr>
      <w:r>
        <w:rPr>
          <w:lang w:val="it-IT"/>
        </w:rPr>
        <w:t>3 Conclusion</w:t>
      </w:r>
    </w:p>
    <w:p w14:paraId="1BF28089" w14:textId="77777777" w:rsidR="00316E1C" w:rsidRDefault="00A27F2F" w:rsidP="00102610">
      <w:pPr>
        <w:pStyle w:val="GvdeA"/>
        <w:tabs>
          <w:tab w:val="clear" w:pos="1622"/>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before="0" w:after="0"/>
        <w:rPr>
          <w:sz w:val="24"/>
          <w:szCs w:val="24"/>
        </w:rPr>
      </w:pPr>
      <w:r>
        <w:rPr>
          <w:sz w:val="24"/>
          <w:szCs w:val="24"/>
        </w:rPr>
        <w:t xml:space="preserve">In this contribution, we provide our views related to satellite ephemeris to decrease the power consumption of UEs and system information loads. We support the minimum changes in UE </w:t>
      </w:r>
      <w:proofErr w:type="spellStart"/>
      <w:r>
        <w:rPr>
          <w:sz w:val="24"/>
          <w:szCs w:val="24"/>
        </w:rPr>
        <w:t>behaviour</w:t>
      </w:r>
      <w:proofErr w:type="spellEnd"/>
      <w:r>
        <w:rPr>
          <w:sz w:val="24"/>
          <w:szCs w:val="24"/>
        </w:rPr>
        <w:t xml:space="preserve"> and 3GPP technical specifications. Our observations and proposals are shared below:</w:t>
      </w:r>
    </w:p>
    <w:p w14:paraId="4139BE8B" w14:textId="77777777" w:rsidR="00316E1C" w:rsidRDefault="00316E1C" w:rsidP="00102610">
      <w:pPr>
        <w:pStyle w:val="GvdeA"/>
      </w:pPr>
    </w:p>
    <w:p w14:paraId="4E5EE32E" w14:textId="77777777" w:rsidR="00876A85" w:rsidRDefault="00876A85" w:rsidP="00876A85">
      <w:pPr>
        <w:pStyle w:val="GvdeA"/>
        <w:rPr>
          <w:sz w:val="24"/>
          <w:szCs w:val="24"/>
        </w:rPr>
      </w:pPr>
      <w:r w:rsidRPr="007319CE">
        <w:rPr>
          <w:b/>
          <w:bCs/>
          <w:sz w:val="24"/>
          <w:szCs w:val="24"/>
        </w:rPr>
        <w:t xml:space="preserve">Observation 1: </w:t>
      </w:r>
      <w:r w:rsidRPr="007319CE">
        <w:rPr>
          <w:sz w:val="24"/>
          <w:szCs w:val="24"/>
        </w:rPr>
        <w:t>Ephemeris parameters for the cells from the same satellite, orbit or constellation may be the same. Using delta configuration can reduce the number of bits.</w:t>
      </w:r>
    </w:p>
    <w:p w14:paraId="1FD30170" w14:textId="77777777" w:rsidR="00876A85" w:rsidRDefault="00876A85" w:rsidP="00876A85">
      <w:pPr>
        <w:pStyle w:val="SaptanmA"/>
        <w:jc w:val="both"/>
      </w:pPr>
      <w:r>
        <w:rPr>
          <w:b/>
          <w:bCs/>
        </w:rPr>
        <w:t xml:space="preserve">Observation 2: </w:t>
      </w:r>
      <w:r>
        <w:t xml:space="preserve">Ephemeris parameters can have different validity duration requirements. Two other mechanisms can address slowly and quickly changing parameters in the satellite ephemeris. </w:t>
      </w:r>
    </w:p>
    <w:p w14:paraId="5328ED6D" w14:textId="77777777" w:rsidR="00876A85" w:rsidRDefault="00876A85" w:rsidP="00102610">
      <w:pPr>
        <w:pStyle w:val="SaptanmA"/>
        <w:jc w:val="both"/>
      </w:pPr>
    </w:p>
    <w:p w14:paraId="2DD18A5E" w14:textId="30FB9EDA" w:rsidR="00316E1C" w:rsidRDefault="00A27F2F" w:rsidP="00102610">
      <w:pPr>
        <w:pStyle w:val="SaptanmA"/>
        <w:jc w:val="both"/>
      </w:pPr>
      <w:r>
        <w:t>We have the following proposal</w:t>
      </w:r>
      <w:r w:rsidR="00211B31">
        <w:t>s</w:t>
      </w:r>
      <w:r>
        <w:t>:</w:t>
      </w:r>
    </w:p>
    <w:p w14:paraId="5D84F949" w14:textId="706D221C" w:rsidR="00876A85" w:rsidRDefault="00876A85" w:rsidP="00876A85">
      <w:pPr>
        <w:pStyle w:val="GvdeA"/>
        <w:rPr>
          <w:sz w:val="24"/>
          <w:szCs w:val="24"/>
        </w:rPr>
      </w:pPr>
      <w:r>
        <w:rPr>
          <w:b/>
          <w:bCs/>
          <w:sz w:val="24"/>
          <w:szCs w:val="24"/>
        </w:rPr>
        <w:t>Proposal</w:t>
      </w:r>
      <w:r w:rsidRPr="007319CE">
        <w:rPr>
          <w:b/>
          <w:bCs/>
          <w:sz w:val="24"/>
          <w:szCs w:val="24"/>
        </w:rPr>
        <w:t xml:space="preserve"> 1: </w:t>
      </w:r>
      <w:r w:rsidR="008B11D6" w:rsidRPr="00401CB9">
        <w:rPr>
          <w:sz w:val="24"/>
          <w:szCs w:val="24"/>
        </w:rPr>
        <w:t>The neighbor cells of the same satellite and orbit</w:t>
      </w:r>
      <w:r w:rsidR="008B11D6">
        <w:rPr>
          <w:sz w:val="24"/>
          <w:szCs w:val="24"/>
        </w:rPr>
        <w:t xml:space="preserve"> </w:t>
      </w:r>
      <w:r>
        <w:rPr>
          <w:sz w:val="24"/>
          <w:szCs w:val="24"/>
        </w:rPr>
        <w:t>can</w:t>
      </w:r>
      <w:r w:rsidRPr="00FF7F44">
        <w:rPr>
          <w:sz w:val="24"/>
          <w:szCs w:val="24"/>
        </w:rPr>
        <w:t xml:space="preserve"> </w:t>
      </w:r>
      <w:r>
        <w:rPr>
          <w:sz w:val="24"/>
          <w:szCs w:val="24"/>
        </w:rPr>
        <w:t>s</w:t>
      </w:r>
      <w:r w:rsidRPr="007319CE">
        <w:rPr>
          <w:sz w:val="24"/>
          <w:szCs w:val="24"/>
        </w:rPr>
        <w:t>upport</w:t>
      </w:r>
      <w:r w:rsidRPr="002B70A8">
        <w:rPr>
          <w:sz w:val="24"/>
          <w:szCs w:val="24"/>
        </w:rPr>
        <w:t xml:space="preserve"> </w:t>
      </w:r>
      <w:r>
        <w:rPr>
          <w:sz w:val="24"/>
          <w:szCs w:val="24"/>
        </w:rPr>
        <w:t xml:space="preserve">the </w:t>
      </w:r>
      <w:r w:rsidRPr="002B70A8">
        <w:rPr>
          <w:sz w:val="24"/>
          <w:szCs w:val="24"/>
        </w:rPr>
        <w:t>delta configuration of the ephemeris information of the serving cell.</w:t>
      </w:r>
      <w:r>
        <w:rPr>
          <w:sz w:val="24"/>
          <w:szCs w:val="24"/>
        </w:rPr>
        <w:t xml:space="preserve"> We can use the partial</w:t>
      </w:r>
      <w:r w:rsidRPr="00FF7F44">
        <w:rPr>
          <w:sz w:val="24"/>
          <w:szCs w:val="24"/>
        </w:rPr>
        <w:t xml:space="preserve"> orbital parameters from </w:t>
      </w:r>
      <w:r>
        <w:rPr>
          <w:sz w:val="24"/>
          <w:szCs w:val="24"/>
        </w:rPr>
        <w:t>e</w:t>
      </w:r>
      <w:r w:rsidRPr="00FF7F44">
        <w:rPr>
          <w:sz w:val="24"/>
          <w:szCs w:val="24"/>
        </w:rPr>
        <w:t>phemeris</w:t>
      </w:r>
      <w:r>
        <w:rPr>
          <w:sz w:val="24"/>
          <w:szCs w:val="24"/>
        </w:rPr>
        <w:t xml:space="preserve"> i</w:t>
      </w:r>
      <w:r w:rsidRPr="00FF7F44">
        <w:rPr>
          <w:sz w:val="24"/>
          <w:szCs w:val="24"/>
        </w:rPr>
        <w:t>nfo of the serving cell</w:t>
      </w:r>
      <w:r>
        <w:rPr>
          <w:sz w:val="24"/>
          <w:szCs w:val="24"/>
        </w:rPr>
        <w:t xml:space="preserve">s </w:t>
      </w:r>
      <w:r w:rsidRPr="00FF7F44">
        <w:rPr>
          <w:sz w:val="24"/>
          <w:szCs w:val="24"/>
        </w:rPr>
        <w:t xml:space="preserve">indicated in </w:t>
      </w:r>
      <w:r>
        <w:rPr>
          <w:sz w:val="24"/>
          <w:szCs w:val="24"/>
        </w:rPr>
        <w:t>i</w:t>
      </w:r>
      <w:r w:rsidRPr="00FF7F44">
        <w:rPr>
          <w:sz w:val="24"/>
          <w:szCs w:val="24"/>
        </w:rPr>
        <w:t>ntra</w:t>
      </w:r>
      <w:r>
        <w:rPr>
          <w:sz w:val="24"/>
          <w:szCs w:val="24"/>
        </w:rPr>
        <w:t>-frequency and inter-frequency</w:t>
      </w:r>
      <w:r w:rsidRPr="00FF7F44">
        <w:rPr>
          <w:sz w:val="24"/>
          <w:szCs w:val="24"/>
        </w:rPr>
        <w:t xml:space="preserve"> </w:t>
      </w:r>
      <w:proofErr w:type="spellStart"/>
      <w:r w:rsidRPr="00FF7F44">
        <w:rPr>
          <w:sz w:val="24"/>
          <w:szCs w:val="24"/>
        </w:rPr>
        <w:t>neighbours</w:t>
      </w:r>
      <w:proofErr w:type="spellEnd"/>
      <w:r w:rsidRPr="00FF7F44">
        <w:rPr>
          <w:sz w:val="24"/>
          <w:szCs w:val="24"/>
        </w:rPr>
        <w:t>.</w:t>
      </w:r>
    </w:p>
    <w:p w14:paraId="13352E27" w14:textId="25C28555" w:rsidR="00316E1C" w:rsidRPr="00876A85" w:rsidRDefault="00876A85" w:rsidP="00876A85">
      <w:pPr>
        <w:pStyle w:val="SaptanmA"/>
        <w:jc w:val="both"/>
      </w:pPr>
      <w:r>
        <w:rPr>
          <w:b/>
          <w:bCs/>
        </w:rPr>
        <w:t xml:space="preserve">Proposal 2: </w:t>
      </w:r>
      <w:r>
        <w:t xml:space="preserve">SIB ephemeris update can be triggered with defined fields in different ephemeris parameters, although a change on these parameters does not always imply a SIB update. Parameters </w:t>
      </w:r>
      <w:r w:rsidR="001A484A">
        <w:t xml:space="preserve">may </w:t>
      </w:r>
      <w:r>
        <w:t>need other update times. We can use different SIB trigger duration for slowly and quickly varying parameters. We need to minimize the power consumption of UEs by using different maximum validity times of the satellite ephemeris without having acquired new satellite ephemeris.</w:t>
      </w:r>
    </w:p>
    <w:p w14:paraId="6AFD4338" w14:textId="77777777" w:rsidR="00BF7A70" w:rsidRDefault="00BF7A70" w:rsidP="00102610">
      <w:pPr>
        <w:pStyle w:val="KonuBalA"/>
      </w:pPr>
    </w:p>
    <w:p w14:paraId="7A384F5A" w14:textId="676D665F" w:rsidR="00316E1C" w:rsidRDefault="00A27F2F" w:rsidP="00102610">
      <w:pPr>
        <w:pStyle w:val="KonuBalA"/>
      </w:pPr>
      <w:r>
        <w:t xml:space="preserve">4 </w:t>
      </w:r>
      <w:proofErr w:type="spellStart"/>
      <w:r>
        <w:t>References</w:t>
      </w:r>
      <w:proofErr w:type="spellEnd"/>
    </w:p>
    <w:p w14:paraId="7AFFE3AE" w14:textId="7EABCA3A" w:rsidR="007D3C79" w:rsidRPr="002B70A8" w:rsidRDefault="007D3C79" w:rsidP="00102610">
      <w:pPr>
        <w:pStyle w:val="ListParagraph"/>
        <w:numPr>
          <w:ilvl w:val="0"/>
          <w:numId w:val="5"/>
        </w:numPr>
        <w:spacing w:after="60"/>
        <w:rPr>
          <w:rFonts w:ascii="Calibri" w:hAnsi="Calibri"/>
          <w:sz w:val="24"/>
          <w:szCs w:val="24"/>
        </w:rPr>
      </w:pPr>
      <w:r w:rsidRPr="002B70A8">
        <w:rPr>
          <w:rFonts w:ascii="Calibri" w:hAnsi="Calibri"/>
          <w:sz w:val="24"/>
          <w:szCs w:val="24"/>
        </w:rPr>
        <w:t>Chair's Notes RAN2#1</w:t>
      </w:r>
      <w:r w:rsidR="00AD31A4" w:rsidRPr="002B70A8">
        <w:rPr>
          <w:rFonts w:ascii="Calibri" w:hAnsi="Calibri"/>
          <w:sz w:val="24"/>
          <w:szCs w:val="24"/>
        </w:rPr>
        <w:t>1</w:t>
      </w:r>
      <w:r w:rsidRPr="002B70A8">
        <w:rPr>
          <w:rFonts w:ascii="Calibri" w:hAnsi="Calibri"/>
          <w:sz w:val="24"/>
          <w:szCs w:val="24"/>
        </w:rPr>
        <w:t>8-e R17 NTN-REDCAP-CE_EOM</w:t>
      </w:r>
    </w:p>
    <w:p w14:paraId="1B320AD8" w14:textId="3CD9A52C" w:rsidR="00316E1C" w:rsidRPr="008B2621" w:rsidRDefault="00AD31A4" w:rsidP="00102610">
      <w:pPr>
        <w:pStyle w:val="ListParagraph"/>
        <w:numPr>
          <w:ilvl w:val="0"/>
          <w:numId w:val="5"/>
        </w:numPr>
        <w:spacing w:after="60"/>
        <w:rPr>
          <w:rFonts w:ascii="Calibri" w:hAnsi="Calibri"/>
          <w:sz w:val="24"/>
          <w:szCs w:val="24"/>
        </w:rPr>
      </w:pPr>
      <w:r w:rsidRPr="002B70A8">
        <w:rPr>
          <w:rFonts w:ascii="Calibri" w:hAnsi="Calibri"/>
          <w:sz w:val="24"/>
          <w:szCs w:val="24"/>
        </w:rPr>
        <w:t>Chair's Notes RAN2#117-e R17 NTN-REDCAP-CE_EOM</w:t>
      </w:r>
    </w:p>
    <w:p w14:paraId="69D6B4FE" w14:textId="77777777" w:rsidR="00316E1C" w:rsidRDefault="00316E1C" w:rsidP="00102610">
      <w:pPr>
        <w:pStyle w:val="GvdeA"/>
      </w:pPr>
    </w:p>
    <w:p w14:paraId="6CEA5AC6" w14:textId="77777777" w:rsidR="00316E1C" w:rsidRDefault="00316E1C" w:rsidP="00102610">
      <w:pPr>
        <w:pStyle w:val="GvdeA"/>
        <w:rPr>
          <w:b/>
          <w:bCs/>
          <w:sz w:val="32"/>
          <w:szCs w:val="32"/>
        </w:rPr>
      </w:pPr>
    </w:p>
    <w:p w14:paraId="75A94A59" w14:textId="77777777" w:rsidR="00316E1C" w:rsidRDefault="00A27F2F" w:rsidP="005D6E35">
      <w:pPr>
        <w:pStyle w:val="ListParagraph"/>
        <w:spacing w:after="60"/>
        <w:ind w:left="360"/>
        <w:jc w:val="center"/>
      </w:pPr>
      <w:r>
        <w:rPr>
          <w:rFonts w:ascii="Calibri" w:hAnsi="Calibri"/>
          <w:b/>
          <w:bCs/>
          <w:i/>
          <w:iCs/>
          <w:sz w:val="32"/>
          <w:szCs w:val="32"/>
        </w:rPr>
        <w:t>- End -</w:t>
      </w:r>
    </w:p>
    <w:sectPr w:rsidR="00316E1C">
      <w:headerReference w:type="default" r:id="rId7"/>
      <w:footerReference w:type="default" r:id="rId8"/>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57FA41" w14:textId="77777777" w:rsidR="00F1500C" w:rsidRDefault="00F1500C">
      <w:r>
        <w:separator/>
      </w:r>
    </w:p>
  </w:endnote>
  <w:endnote w:type="continuationSeparator" w:id="0">
    <w:p w14:paraId="588D76DF" w14:textId="77777777" w:rsidR="00F1500C" w:rsidRDefault="00F15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A1"/>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E3685" w14:textId="77777777" w:rsidR="00316E1C" w:rsidRDefault="00316E1C">
    <w:pPr>
      <w:pStyle w:val="stBilgive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0B0FE5" w14:textId="77777777" w:rsidR="00F1500C" w:rsidRDefault="00F1500C">
      <w:r>
        <w:separator/>
      </w:r>
    </w:p>
  </w:footnote>
  <w:footnote w:type="continuationSeparator" w:id="0">
    <w:p w14:paraId="32EA0F5D" w14:textId="77777777" w:rsidR="00F1500C" w:rsidRDefault="00F150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0D3F5" w14:textId="77777777" w:rsidR="00316E1C" w:rsidRDefault="00316E1C">
    <w:pPr>
      <w:pStyle w:val="stBilgiveAl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F7D1E"/>
    <w:multiLevelType w:val="hybridMultilevel"/>
    <w:tmpl w:val="71E25254"/>
    <w:lvl w:ilvl="0" w:tplc="BAB66D86">
      <w:start w:val="1"/>
      <w:numFmt w:val="bullet"/>
      <w:lvlText w:val="·"/>
      <w:lvlJc w:val="left"/>
      <w:pPr>
        <w:tabs>
          <w:tab w:val="left" w:pos="800"/>
          <w:tab w:val="left" w:pos="1600"/>
          <w:tab w:val="left" w:pos="1622"/>
          <w:tab w:val="left" w:pos="2400"/>
          <w:tab w:val="left" w:pos="3200"/>
          <w:tab w:val="left" w:pos="4000"/>
          <w:tab w:val="left" w:pos="4800"/>
          <w:tab w:val="left" w:pos="5600"/>
          <w:tab w:val="left" w:pos="6400"/>
          <w:tab w:val="left" w:pos="7200"/>
          <w:tab w:val="left" w:pos="8000"/>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9CC3A88">
      <w:start w:val="1"/>
      <w:numFmt w:val="bullet"/>
      <w:lvlText w:val="o"/>
      <w:lvlJc w:val="left"/>
      <w:pPr>
        <w:tabs>
          <w:tab w:val="left" w:pos="800"/>
          <w:tab w:val="left" w:pos="1600"/>
          <w:tab w:val="left" w:pos="1622"/>
          <w:tab w:val="left" w:pos="2400"/>
          <w:tab w:val="left" w:pos="3200"/>
          <w:tab w:val="left" w:pos="4000"/>
          <w:tab w:val="left" w:pos="4800"/>
          <w:tab w:val="left" w:pos="5600"/>
          <w:tab w:val="left" w:pos="6400"/>
          <w:tab w:val="left" w:pos="7200"/>
          <w:tab w:val="left" w:pos="8000"/>
        </w:tabs>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E4F66FC0">
      <w:start w:val="1"/>
      <w:numFmt w:val="bullet"/>
      <w:lvlText w:val="▪"/>
      <w:lvlJc w:val="left"/>
      <w:pPr>
        <w:tabs>
          <w:tab w:val="left" w:pos="800"/>
          <w:tab w:val="left" w:pos="1600"/>
          <w:tab w:val="left" w:pos="1622"/>
          <w:tab w:val="left" w:pos="2400"/>
          <w:tab w:val="left" w:pos="3200"/>
          <w:tab w:val="left" w:pos="4000"/>
          <w:tab w:val="left" w:pos="4800"/>
          <w:tab w:val="left" w:pos="5600"/>
          <w:tab w:val="left" w:pos="6400"/>
          <w:tab w:val="left" w:pos="7200"/>
          <w:tab w:val="left" w:pos="800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63EDA12">
      <w:start w:val="1"/>
      <w:numFmt w:val="bullet"/>
      <w:lvlText w:val="·"/>
      <w:lvlJc w:val="left"/>
      <w:pPr>
        <w:tabs>
          <w:tab w:val="left" w:pos="800"/>
          <w:tab w:val="left" w:pos="1600"/>
          <w:tab w:val="left" w:pos="1622"/>
          <w:tab w:val="left" w:pos="2400"/>
          <w:tab w:val="left" w:pos="3200"/>
          <w:tab w:val="left" w:pos="4000"/>
          <w:tab w:val="left" w:pos="4800"/>
          <w:tab w:val="left" w:pos="5600"/>
          <w:tab w:val="left" w:pos="6400"/>
          <w:tab w:val="left" w:pos="7200"/>
          <w:tab w:val="left" w:pos="800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D52F81A">
      <w:start w:val="1"/>
      <w:numFmt w:val="bullet"/>
      <w:lvlText w:val="o"/>
      <w:lvlJc w:val="left"/>
      <w:pPr>
        <w:tabs>
          <w:tab w:val="left" w:pos="800"/>
          <w:tab w:val="left" w:pos="1600"/>
          <w:tab w:val="left" w:pos="1622"/>
          <w:tab w:val="left" w:pos="2400"/>
          <w:tab w:val="left" w:pos="3200"/>
          <w:tab w:val="left" w:pos="4000"/>
          <w:tab w:val="left" w:pos="4800"/>
          <w:tab w:val="left" w:pos="5600"/>
          <w:tab w:val="left" w:pos="6400"/>
          <w:tab w:val="left" w:pos="7200"/>
          <w:tab w:val="left" w:pos="800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E00F638">
      <w:start w:val="1"/>
      <w:numFmt w:val="bullet"/>
      <w:lvlText w:val="▪"/>
      <w:lvlJc w:val="left"/>
      <w:pPr>
        <w:tabs>
          <w:tab w:val="left" w:pos="800"/>
          <w:tab w:val="left" w:pos="1600"/>
          <w:tab w:val="left" w:pos="1622"/>
          <w:tab w:val="left" w:pos="2400"/>
          <w:tab w:val="left" w:pos="3200"/>
          <w:tab w:val="left" w:pos="4000"/>
          <w:tab w:val="left" w:pos="4800"/>
          <w:tab w:val="left" w:pos="5600"/>
          <w:tab w:val="left" w:pos="6400"/>
          <w:tab w:val="left" w:pos="7200"/>
          <w:tab w:val="left" w:pos="800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C1888B2">
      <w:start w:val="1"/>
      <w:numFmt w:val="bullet"/>
      <w:lvlText w:val="·"/>
      <w:lvlJc w:val="left"/>
      <w:pPr>
        <w:tabs>
          <w:tab w:val="left" w:pos="800"/>
          <w:tab w:val="left" w:pos="1600"/>
          <w:tab w:val="left" w:pos="1622"/>
          <w:tab w:val="left" w:pos="2400"/>
          <w:tab w:val="left" w:pos="3200"/>
          <w:tab w:val="left" w:pos="4000"/>
          <w:tab w:val="left" w:pos="5600"/>
          <w:tab w:val="left" w:pos="6400"/>
          <w:tab w:val="left" w:pos="7200"/>
          <w:tab w:val="left" w:pos="8000"/>
        </w:tabs>
        <w:ind w:left="4800" w:hanging="12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76ADC48">
      <w:start w:val="1"/>
      <w:numFmt w:val="bullet"/>
      <w:lvlText w:val="o"/>
      <w:lvlJc w:val="left"/>
      <w:pPr>
        <w:tabs>
          <w:tab w:val="left" w:pos="800"/>
          <w:tab w:val="left" w:pos="1600"/>
          <w:tab w:val="left" w:pos="1622"/>
          <w:tab w:val="left" w:pos="2400"/>
          <w:tab w:val="left" w:pos="3200"/>
          <w:tab w:val="left" w:pos="4000"/>
          <w:tab w:val="left" w:pos="4800"/>
          <w:tab w:val="left" w:pos="6400"/>
          <w:tab w:val="left" w:pos="7200"/>
          <w:tab w:val="left" w:pos="8000"/>
        </w:tabs>
        <w:ind w:left="5600" w:hanging="2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D9C68E4">
      <w:start w:val="1"/>
      <w:numFmt w:val="bullet"/>
      <w:lvlText w:val="▪"/>
      <w:lvlJc w:val="left"/>
      <w:pPr>
        <w:tabs>
          <w:tab w:val="left" w:pos="800"/>
          <w:tab w:val="left" w:pos="1600"/>
          <w:tab w:val="left" w:pos="1622"/>
          <w:tab w:val="left" w:pos="2400"/>
          <w:tab w:val="left" w:pos="3200"/>
          <w:tab w:val="left" w:pos="4000"/>
          <w:tab w:val="left" w:pos="4800"/>
          <w:tab w:val="left" w:pos="5600"/>
          <w:tab w:val="left" w:pos="7200"/>
          <w:tab w:val="left" w:pos="8000"/>
        </w:tabs>
        <w:ind w:left="6400" w:hanging="2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155E708F"/>
    <w:multiLevelType w:val="hybridMultilevel"/>
    <w:tmpl w:val="CC5685E2"/>
    <w:lvl w:ilvl="0" w:tplc="44BA034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1E21016E"/>
    <w:multiLevelType w:val="hybridMultilevel"/>
    <w:tmpl w:val="C12C5BD0"/>
    <w:lvl w:ilvl="0" w:tplc="DF9851B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26B22448"/>
    <w:multiLevelType w:val="hybridMultilevel"/>
    <w:tmpl w:val="9962B824"/>
    <w:numStyleLink w:val="eAktarlan12Stili"/>
  </w:abstractNum>
  <w:abstractNum w:abstractNumId="4" w15:restartNumberingAfterBreak="0">
    <w:nsid w:val="3FD103B1"/>
    <w:multiLevelType w:val="hybridMultilevel"/>
    <w:tmpl w:val="FBA201CE"/>
    <w:lvl w:ilvl="0" w:tplc="4560C83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477B0432"/>
    <w:multiLevelType w:val="hybridMultilevel"/>
    <w:tmpl w:val="589E14B6"/>
    <w:lvl w:ilvl="0" w:tplc="05806C80">
      <w:start w:val="1"/>
      <w:numFmt w:val="bullet"/>
      <w:lvlText w:val="·"/>
      <w:lvlJc w:val="left"/>
      <w:pPr>
        <w:tabs>
          <w:tab w:val="left" w:pos="800"/>
          <w:tab w:val="left" w:pos="1600"/>
          <w:tab w:val="left" w:pos="1622"/>
          <w:tab w:val="left" w:pos="2400"/>
          <w:tab w:val="left" w:pos="3200"/>
          <w:tab w:val="left" w:pos="4000"/>
          <w:tab w:val="left" w:pos="4800"/>
          <w:tab w:val="left" w:pos="5600"/>
          <w:tab w:val="left" w:pos="6400"/>
          <w:tab w:val="left" w:pos="7200"/>
          <w:tab w:val="left" w:pos="8000"/>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71037BC">
      <w:start w:val="1"/>
      <w:numFmt w:val="bullet"/>
      <w:lvlText w:val="o"/>
      <w:lvlJc w:val="left"/>
      <w:pPr>
        <w:tabs>
          <w:tab w:val="left" w:pos="800"/>
          <w:tab w:val="left" w:pos="1600"/>
          <w:tab w:val="left" w:pos="1622"/>
          <w:tab w:val="left" w:pos="2400"/>
          <w:tab w:val="left" w:pos="3200"/>
          <w:tab w:val="left" w:pos="4000"/>
          <w:tab w:val="left" w:pos="4800"/>
          <w:tab w:val="left" w:pos="5600"/>
          <w:tab w:val="left" w:pos="6400"/>
          <w:tab w:val="left" w:pos="7200"/>
          <w:tab w:val="left" w:pos="800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B82506C">
      <w:start w:val="1"/>
      <w:numFmt w:val="bullet"/>
      <w:lvlText w:val="▪"/>
      <w:lvlJc w:val="left"/>
      <w:pPr>
        <w:tabs>
          <w:tab w:val="left" w:pos="800"/>
          <w:tab w:val="left" w:pos="1600"/>
          <w:tab w:val="left" w:pos="1622"/>
          <w:tab w:val="left" w:pos="2400"/>
          <w:tab w:val="left" w:pos="3200"/>
          <w:tab w:val="left" w:pos="4000"/>
          <w:tab w:val="left" w:pos="4800"/>
          <w:tab w:val="left" w:pos="5600"/>
          <w:tab w:val="left" w:pos="6400"/>
          <w:tab w:val="left" w:pos="7200"/>
          <w:tab w:val="left" w:pos="800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3D6672E">
      <w:start w:val="1"/>
      <w:numFmt w:val="bullet"/>
      <w:lvlText w:val="·"/>
      <w:lvlJc w:val="left"/>
      <w:pPr>
        <w:tabs>
          <w:tab w:val="left" w:pos="800"/>
          <w:tab w:val="left" w:pos="1600"/>
          <w:tab w:val="left" w:pos="1622"/>
          <w:tab w:val="left" w:pos="2400"/>
          <w:tab w:val="left" w:pos="3200"/>
          <w:tab w:val="left" w:pos="4000"/>
          <w:tab w:val="left" w:pos="4800"/>
          <w:tab w:val="left" w:pos="5600"/>
          <w:tab w:val="left" w:pos="6400"/>
          <w:tab w:val="left" w:pos="7200"/>
          <w:tab w:val="left" w:pos="800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3ECB5A0">
      <w:start w:val="1"/>
      <w:numFmt w:val="bullet"/>
      <w:lvlText w:val="o"/>
      <w:lvlJc w:val="left"/>
      <w:pPr>
        <w:tabs>
          <w:tab w:val="left" w:pos="800"/>
          <w:tab w:val="left" w:pos="1600"/>
          <w:tab w:val="left" w:pos="1622"/>
          <w:tab w:val="left" w:pos="2400"/>
          <w:tab w:val="left" w:pos="3200"/>
          <w:tab w:val="left" w:pos="4000"/>
          <w:tab w:val="left" w:pos="4800"/>
          <w:tab w:val="left" w:pos="5600"/>
          <w:tab w:val="left" w:pos="6400"/>
          <w:tab w:val="left" w:pos="7200"/>
          <w:tab w:val="left" w:pos="800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F3CEC8A">
      <w:start w:val="1"/>
      <w:numFmt w:val="bullet"/>
      <w:lvlText w:val="▪"/>
      <w:lvlJc w:val="left"/>
      <w:pPr>
        <w:tabs>
          <w:tab w:val="left" w:pos="800"/>
          <w:tab w:val="left" w:pos="1600"/>
          <w:tab w:val="left" w:pos="1622"/>
          <w:tab w:val="left" w:pos="2400"/>
          <w:tab w:val="left" w:pos="3200"/>
          <w:tab w:val="left" w:pos="4000"/>
          <w:tab w:val="left" w:pos="4800"/>
          <w:tab w:val="left" w:pos="5600"/>
          <w:tab w:val="left" w:pos="6400"/>
          <w:tab w:val="left" w:pos="7200"/>
          <w:tab w:val="left" w:pos="800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FEA7B38">
      <w:start w:val="1"/>
      <w:numFmt w:val="bullet"/>
      <w:lvlText w:val="·"/>
      <w:lvlJc w:val="left"/>
      <w:pPr>
        <w:tabs>
          <w:tab w:val="left" w:pos="800"/>
          <w:tab w:val="left" w:pos="1600"/>
          <w:tab w:val="left" w:pos="1622"/>
          <w:tab w:val="left" w:pos="2400"/>
          <w:tab w:val="left" w:pos="3200"/>
          <w:tab w:val="left" w:pos="4000"/>
          <w:tab w:val="left" w:pos="5600"/>
          <w:tab w:val="left" w:pos="6400"/>
          <w:tab w:val="left" w:pos="7200"/>
          <w:tab w:val="left" w:pos="8000"/>
        </w:tabs>
        <w:ind w:left="4800" w:hanging="12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3548E56">
      <w:start w:val="1"/>
      <w:numFmt w:val="bullet"/>
      <w:lvlText w:val="o"/>
      <w:lvlJc w:val="left"/>
      <w:pPr>
        <w:tabs>
          <w:tab w:val="left" w:pos="800"/>
          <w:tab w:val="left" w:pos="1600"/>
          <w:tab w:val="left" w:pos="1622"/>
          <w:tab w:val="left" w:pos="2400"/>
          <w:tab w:val="left" w:pos="3200"/>
          <w:tab w:val="left" w:pos="4000"/>
          <w:tab w:val="left" w:pos="4800"/>
          <w:tab w:val="left" w:pos="6400"/>
          <w:tab w:val="left" w:pos="7200"/>
          <w:tab w:val="left" w:pos="8000"/>
        </w:tabs>
        <w:ind w:left="5600" w:hanging="2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F4C09BA">
      <w:start w:val="1"/>
      <w:numFmt w:val="bullet"/>
      <w:lvlText w:val="▪"/>
      <w:lvlJc w:val="left"/>
      <w:pPr>
        <w:tabs>
          <w:tab w:val="left" w:pos="800"/>
          <w:tab w:val="left" w:pos="1600"/>
          <w:tab w:val="left" w:pos="1622"/>
          <w:tab w:val="left" w:pos="2400"/>
          <w:tab w:val="left" w:pos="3200"/>
          <w:tab w:val="left" w:pos="4000"/>
          <w:tab w:val="left" w:pos="4800"/>
          <w:tab w:val="left" w:pos="5600"/>
          <w:tab w:val="left" w:pos="7200"/>
          <w:tab w:val="left" w:pos="8000"/>
        </w:tabs>
        <w:ind w:left="6400" w:hanging="2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50E2443E"/>
    <w:multiLevelType w:val="hybridMultilevel"/>
    <w:tmpl w:val="CC5685E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53953DA1"/>
    <w:multiLevelType w:val="hybridMultilevel"/>
    <w:tmpl w:val="CC5685E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5BB157FD"/>
    <w:multiLevelType w:val="hybridMultilevel"/>
    <w:tmpl w:val="9962B824"/>
    <w:styleLink w:val="eAktarlan12Stili"/>
    <w:lvl w:ilvl="0" w:tplc="B506529C">
      <w:start w:val="1"/>
      <w:numFmt w:val="decimal"/>
      <w:lvlText w:val="%1."/>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B02ACDBC">
      <w:start w:val="1"/>
      <w:numFmt w:val="lowerLetter"/>
      <w:lvlText w:val="%2."/>
      <w:lvlJc w:val="left"/>
      <w:pPr>
        <w:ind w:left="10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4C329F6A">
      <w:start w:val="1"/>
      <w:numFmt w:val="lowerRoman"/>
      <w:lvlText w:val="%3."/>
      <w:lvlJc w:val="left"/>
      <w:pPr>
        <w:ind w:left="1800" w:hanging="29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34C00062">
      <w:start w:val="1"/>
      <w:numFmt w:val="decimal"/>
      <w:lvlText w:val="%4."/>
      <w:lvlJc w:val="left"/>
      <w:pPr>
        <w:ind w:left="25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FAC051CA">
      <w:start w:val="1"/>
      <w:numFmt w:val="lowerLetter"/>
      <w:lvlText w:val="%5."/>
      <w:lvlJc w:val="left"/>
      <w:pPr>
        <w:ind w:left="32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13B686B6">
      <w:start w:val="1"/>
      <w:numFmt w:val="lowerRoman"/>
      <w:lvlText w:val="%6."/>
      <w:lvlJc w:val="left"/>
      <w:pPr>
        <w:ind w:left="3960" w:hanging="29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944236BC">
      <w:start w:val="1"/>
      <w:numFmt w:val="decimal"/>
      <w:lvlText w:val="%7."/>
      <w:lvlJc w:val="left"/>
      <w:pPr>
        <w:ind w:left="46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480C8CBE">
      <w:start w:val="1"/>
      <w:numFmt w:val="lowerLetter"/>
      <w:lvlText w:val="%8."/>
      <w:lvlJc w:val="left"/>
      <w:pPr>
        <w:ind w:left="54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EEC4561E">
      <w:start w:val="1"/>
      <w:numFmt w:val="lowerRoman"/>
      <w:lvlText w:val="%9."/>
      <w:lvlJc w:val="left"/>
      <w:pPr>
        <w:ind w:left="6120" w:hanging="29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766E33E1"/>
    <w:multiLevelType w:val="hybridMultilevel"/>
    <w:tmpl w:val="EEF6DE84"/>
    <w:lvl w:ilvl="0" w:tplc="E9CE0574">
      <w:start w:val="1"/>
      <w:numFmt w:val="bullet"/>
      <w:lvlText w:val="·"/>
      <w:lvlJc w:val="left"/>
      <w:pPr>
        <w:tabs>
          <w:tab w:val="left" w:pos="800"/>
          <w:tab w:val="left" w:pos="1600"/>
          <w:tab w:val="left" w:pos="1622"/>
          <w:tab w:val="left" w:pos="2400"/>
          <w:tab w:val="left" w:pos="3200"/>
          <w:tab w:val="left" w:pos="4000"/>
          <w:tab w:val="left" w:pos="4800"/>
          <w:tab w:val="left" w:pos="5600"/>
          <w:tab w:val="left" w:pos="6400"/>
          <w:tab w:val="left" w:pos="7200"/>
          <w:tab w:val="left" w:pos="8000"/>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ABE60EA">
      <w:start w:val="1"/>
      <w:numFmt w:val="bullet"/>
      <w:lvlText w:val="o"/>
      <w:lvlJc w:val="left"/>
      <w:pPr>
        <w:tabs>
          <w:tab w:val="left" w:pos="800"/>
          <w:tab w:val="left" w:pos="1600"/>
          <w:tab w:val="left" w:pos="1622"/>
          <w:tab w:val="left" w:pos="2400"/>
          <w:tab w:val="left" w:pos="3200"/>
          <w:tab w:val="left" w:pos="4000"/>
          <w:tab w:val="left" w:pos="4800"/>
          <w:tab w:val="left" w:pos="5600"/>
          <w:tab w:val="left" w:pos="6400"/>
          <w:tab w:val="left" w:pos="7200"/>
          <w:tab w:val="left" w:pos="800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55A3F90">
      <w:start w:val="1"/>
      <w:numFmt w:val="bullet"/>
      <w:lvlText w:val="▪"/>
      <w:lvlJc w:val="left"/>
      <w:pPr>
        <w:tabs>
          <w:tab w:val="left" w:pos="800"/>
          <w:tab w:val="left" w:pos="1600"/>
          <w:tab w:val="left" w:pos="1622"/>
          <w:tab w:val="left" w:pos="2400"/>
          <w:tab w:val="left" w:pos="3200"/>
          <w:tab w:val="left" w:pos="4000"/>
          <w:tab w:val="left" w:pos="4800"/>
          <w:tab w:val="left" w:pos="5600"/>
          <w:tab w:val="left" w:pos="6400"/>
          <w:tab w:val="left" w:pos="7200"/>
          <w:tab w:val="left" w:pos="800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732E926">
      <w:start w:val="1"/>
      <w:numFmt w:val="bullet"/>
      <w:lvlText w:val="·"/>
      <w:lvlJc w:val="left"/>
      <w:pPr>
        <w:tabs>
          <w:tab w:val="left" w:pos="800"/>
          <w:tab w:val="left" w:pos="1600"/>
          <w:tab w:val="left" w:pos="1622"/>
          <w:tab w:val="left" w:pos="2400"/>
          <w:tab w:val="left" w:pos="3200"/>
          <w:tab w:val="left" w:pos="4000"/>
          <w:tab w:val="left" w:pos="4800"/>
          <w:tab w:val="left" w:pos="5600"/>
          <w:tab w:val="left" w:pos="6400"/>
          <w:tab w:val="left" w:pos="7200"/>
          <w:tab w:val="left" w:pos="800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F081066">
      <w:start w:val="1"/>
      <w:numFmt w:val="bullet"/>
      <w:lvlText w:val="o"/>
      <w:lvlJc w:val="left"/>
      <w:pPr>
        <w:tabs>
          <w:tab w:val="left" w:pos="800"/>
          <w:tab w:val="left" w:pos="1600"/>
          <w:tab w:val="left" w:pos="1622"/>
          <w:tab w:val="left" w:pos="2400"/>
          <w:tab w:val="left" w:pos="3200"/>
          <w:tab w:val="left" w:pos="4000"/>
          <w:tab w:val="left" w:pos="4800"/>
          <w:tab w:val="left" w:pos="5600"/>
          <w:tab w:val="left" w:pos="6400"/>
          <w:tab w:val="left" w:pos="7200"/>
          <w:tab w:val="left" w:pos="800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C5E7318">
      <w:start w:val="1"/>
      <w:numFmt w:val="bullet"/>
      <w:lvlText w:val="▪"/>
      <w:lvlJc w:val="left"/>
      <w:pPr>
        <w:tabs>
          <w:tab w:val="left" w:pos="800"/>
          <w:tab w:val="left" w:pos="1600"/>
          <w:tab w:val="left" w:pos="1622"/>
          <w:tab w:val="left" w:pos="2400"/>
          <w:tab w:val="left" w:pos="3200"/>
          <w:tab w:val="left" w:pos="4000"/>
          <w:tab w:val="left" w:pos="4800"/>
          <w:tab w:val="left" w:pos="5600"/>
          <w:tab w:val="left" w:pos="6400"/>
          <w:tab w:val="left" w:pos="7200"/>
          <w:tab w:val="left" w:pos="800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C7E73BE">
      <w:start w:val="1"/>
      <w:numFmt w:val="bullet"/>
      <w:lvlText w:val="·"/>
      <w:lvlJc w:val="left"/>
      <w:pPr>
        <w:tabs>
          <w:tab w:val="left" w:pos="800"/>
          <w:tab w:val="left" w:pos="1600"/>
          <w:tab w:val="left" w:pos="1622"/>
          <w:tab w:val="left" w:pos="2400"/>
          <w:tab w:val="left" w:pos="3200"/>
          <w:tab w:val="left" w:pos="4000"/>
          <w:tab w:val="left" w:pos="5600"/>
          <w:tab w:val="left" w:pos="6400"/>
          <w:tab w:val="left" w:pos="7200"/>
          <w:tab w:val="left" w:pos="8000"/>
        </w:tabs>
        <w:ind w:left="4800" w:hanging="12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8C46428">
      <w:start w:val="1"/>
      <w:numFmt w:val="bullet"/>
      <w:lvlText w:val="o"/>
      <w:lvlJc w:val="left"/>
      <w:pPr>
        <w:tabs>
          <w:tab w:val="left" w:pos="800"/>
          <w:tab w:val="left" w:pos="1600"/>
          <w:tab w:val="left" w:pos="1622"/>
          <w:tab w:val="left" w:pos="2400"/>
          <w:tab w:val="left" w:pos="3200"/>
          <w:tab w:val="left" w:pos="4000"/>
          <w:tab w:val="left" w:pos="4800"/>
          <w:tab w:val="left" w:pos="6400"/>
          <w:tab w:val="left" w:pos="7200"/>
          <w:tab w:val="left" w:pos="8000"/>
        </w:tabs>
        <w:ind w:left="5600" w:hanging="2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7FA80C4">
      <w:start w:val="1"/>
      <w:numFmt w:val="bullet"/>
      <w:lvlText w:val="▪"/>
      <w:lvlJc w:val="left"/>
      <w:pPr>
        <w:tabs>
          <w:tab w:val="left" w:pos="800"/>
          <w:tab w:val="left" w:pos="1600"/>
          <w:tab w:val="left" w:pos="1622"/>
          <w:tab w:val="left" w:pos="2400"/>
          <w:tab w:val="left" w:pos="3200"/>
          <w:tab w:val="left" w:pos="4000"/>
          <w:tab w:val="left" w:pos="4800"/>
          <w:tab w:val="left" w:pos="5600"/>
          <w:tab w:val="left" w:pos="7200"/>
          <w:tab w:val="left" w:pos="8000"/>
        </w:tabs>
        <w:ind w:left="6400" w:hanging="2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79370019">
    <w:abstractNumId w:val="5"/>
  </w:num>
  <w:num w:numId="2" w16cid:durableId="1918855169">
    <w:abstractNumId w:val="9"/>
  </w:num>
  <w:num w:numId="3" w16cid:durableId="912858923">
    <w:abstractNumId w:val="0"/>
  </w:num>
  <w:num w:numId="4" w16cid:durableId="694768058">
    <w:abstractNumId w:val="8"/>
  </w:num>
  <w:num w:numId="5" w16cid:durableId="633368183">
    <w:abstractNumId w:val="3"/>
  </w:num>
  <w:num w:numId="6" w16cid:durableId="1266841150">
    <w:abstractNumId w:val="1"/>
  </w:num>
  <w:num w:numId="7" w16cid:durableId="1182281907">
    <w:abstractNumId w:val="4"/>
  </w:num>
  <w:num w:numId="8" w16cid:durableId="1074205939">
    <w:abstractNumId w:val="2"/>
  </w:num>
  <w:num w:numId="9" w16cid:durableId="1061097646">
    <w:abstractNumId w:val="6"/>
  </w:num>
  <w:num w:numId="10" w16cid:durableId="9371736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6E1C"/>
    <w:rsid w:val="00001B29"/>
    <w:rsid w:val="00045B3F"/>
    <w:rsid w:val="00092088"/>
    <w:rsid w:val="000D4C8B"/>
    <w:rsid w:val="000F5154"/>
    <w:rsid w:val="00102610"/>
    <w:rsid w:val="001061DA"/>
    <w:rsid w:val="001A484A"/>
    <w:rsid w:val="00201415"/>
    <w:rsid w:val="00211B31"/>
    <w:rsid w:val="00262784"/>
    <w:rsid w:val="002B70A8"/>
    <w:rsid w:val="002F03D0"/>
    <w:rsid w:val="00316E1C"/>
    <w:rsid w:val="00344F77"/>
    <w:rsid w:val="00447655"/>
    <w:rsid w:val="005403C2"/>
    <w:rsid w:val="00563E23"/>
    <w:rsid w:val="005D6E35"/>
    <w:rsid w:val="00613B36"/>
    <w:rsid w:val="00632CB7"/>
    <w:rsid w:val="0069236F"/>
    <w:rsid w:val="006E5335"/>
    <w:rsid w:val="007319CE"/>
    <w:rsid w:val="007D33D9"/>
    <w:rsid w:val="007D3C79"/>
    <w:rsid w:val="0082100C"/>
    <w:rsid w:val="008469FC"/>
    <w:rsid w:val="00876A85"/>
    <w:rsid w:val="008811CC"/>
    <w:rsid w:val="008B11D6"/>
    <w:rsid w:val="008B2621"/>
    <w:rsid w:val="00900896"/>
    <w:rsid w:val="00950992"/>
    <w:rsid w:val="00957255"/>
    <w:rsid w:val="009A05D3"/>
    <w:rsid w:val="009C541E"/>
    <w:rsid w:val="00A27F2F"/>
    <w:rsid w:val="00A3428F"/>
    <w:rsid w:val="00A77540"/>
    <w:rsid w:val="00AD31A4"/>
    <w:rsid w:val="00AF50E7"/>
    <w:rsid w:val="00B63807"/>
    <w:rsid w:val="00B80DE8"/>
    <w:rsid w:val="00B82E78"/>
    <w:rsid w:val="00BF62E4"/>
    <w:rsid w:val="00BF7A70"/>
    <w:rsid w:val="00C15D07"/>
    <w:rsid w:val="00C60C90"/>
    <w:rsid w:val="00CF4A8C"/>
    <w:rsid w:val="00D02123"/>
    <w:rsid w:val="00D15960"/>
    <w:rsid w:val="00D842FD"/>
    <w:rsid w:val="00DE0388"/>
    <w:rsid w:val="00E02ECE"/>
    <w:rsid w:val="00E54249"/>
    <w:rsid w:val="00EE449C"/>
    <w:rsid w:val="00F1500C"/>
    <w:rsid w:val="00F8272E"/>
    <w:rsid w:val="00FD4CE3"/>
    <w:rsid w:val="00FF7F4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1B219"/>
  <w15:docId w15:val="{8E6A191D-1E5B-6A4F-AC80-912D009E9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l-GR"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stBilgiveAltBilgi">
    <w:name w:val="Üst Bilgi ve Alt Bilgi"/>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Header">
    <w:name w:val="header"/>
    <w:pPr>
      <w:widowControl w:val="0"/>
      <w:spacing w:after="180"/>
      <w:jc w:val="both"/>
    </w:pPr>
    <w:rPr>
      <w:rFonts w:ascii="Arial" w:hAnsi="Arial" w:cs="Arial Unicode MS"/>
      <w:b/>
      <w:bCs/>
      <w:color w:val="000000"/>
      <w:sz w:val="18"/>
      <w:szCs w:val="18"/>
      <w:u w:color="000000"/>
      <w:lang w:val="en-US"/>
    </w:rPr>
  </w:style>
  <w:style w:type="paragraph" w:customStyle="1" w:styleId="CRCoverPage">
    <w:name w:val="CR Cover Page"/>
    <w:pPr>
      <w:spacing w:after="120"/>
      <w:jc w:val="both"/>
    </w:pPr>
    <w:rPr>
      <w:rFonts w:ascii="Arial" w:hAnsi="Arial" w:cs="Arial Unicode MS"/>
      <w:color w:val="000000"/>
      <w:u w:color="000000"/>
      <w:lang w:val="en-US"/>
    </w:rPr>
  </w:style>
  <w:style w:type="paragraph" w:customStyle="1" w:styleId="KonuBalA">
    <w:name w:val="Konu Başlığı A"/>
    <w:next w:val="GvdeA"/>
    <w:pPr>
      <w:keepNext/>
      <w:keepLines/>
      <w:pBdr>
        <w:top w:val="single" w:sz="12" w:space="0" w:color="000000"/>
      </w:pBdr>
      <w:spacing w:before="240" w:after="180"/>
      <w:ind w:left="1138" w:hanging="1138"/>
      <w:jc w:val="both"/>
      <w:outlineLvl w:val="0"/>
    </w:pPr>
    <w:rPr>
      <w:rFonts w:ascii="Calibri" w:hAnsi="Calibri" w:cs="Arial Unicode MS"/>
      <w:b/>
      <w:bCs/>
      <w:color w:val="000000"/>
      <w:sz w:val="32"/>
      <w:szCs w:val="32"/>
      <w:u w:color="000000"/>
      <w:lang w:val="fr-FR"/>
      <w14:textOutline w14:w="12700" w14:cap="flat" w14:cmpd="sng" w14:algn="ctr">
        <w14:noFill/>
        <w14:prstDash w14:val="solid"/>
        <w14:miter w14:lim="400000"/>
      </w14:textOutline>
    </w:rPr>
  </w:style>
  <w:style w:type="paragraph" w:customStyle="1" w:styleId="GvdeA">
    <w:name w:val="Gövde A"/>
    <w:pPr>
      <w:tabs>
        <w:tab w:val="left" w:pos="1622"/>
      </w:tabs>
      <w:spacing w:before="100" w:after="60"/>
      <w:jc w:val="both"/>
    </w:pPr>
    <w:rPr>
      <w:rFonts w:ascii="Calibri" w:hAnsi="Calibri" w:cs="Arial Unicode MS"/>
      <w:color w:val="000000"/>
      <w:u w:color="000000"/>
      <w:lang w:val="en-US"/>
      <w14:textOutline w14:w="12700" w14:cap="flat" w14:cmpd="sng" w14:algn="ctr">
        <w14:noFill/>
        <w14:prstDash w14:val="solid"/>
        <w14:miter w14:lim="400000"/>
      </w14:textOutline>
    </w:rPr>
  </w:style>
  <w:style w:type="paragraph" w:customStyle="1" w:styleId="KonuBal2A">
    <w:name w:val="Konu Başlığı 2 A"/>
    <w:next w:val="GvdeA"/>
    <w:pPr>
      <w:keepNext/>
      <w:keepLines/>
      <w:spacing w:before="120" w:after="120"/>
      <w:ind w:left="1138" w:hanging="1138"/>
      <w:outlineLvl w:val="1"/>
    </w:pPr>
    <w:rPr>
      <w:rFonts w:ascii="Calibri" w:hAnsi="Calibri" w:cs="Arial Unicode MS"/>
      <w:b/>
      <w:bCs/>
      <w:color w:val="000000"/>
      <w:sz w:val="28"/>
      <w:szCs w:val="28"/>
      <w:u w:color="000000"/>
      <w:lang w:val="de-DE"/>
      <w14:textOutline w14:w="12700" w14:cap="flat" w14:cmpd="sng" w14:algn="ctr">
        <w14:noFill/>
        <w14:prstDash w14:val="solid"/>
        <w14:miter w14:lim="400000"/>
      </w14:textOutline>
    </w:rPr>
  </w:style>
  <w:style w:type="paragraph" w:customStyle="1" w:styleId="SaptanmA">
    <w:name w:val="Saptanmış A"/>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520"/>
      </w:tabs>
      <w:spacing w:after="160"/>
    </w:pPr>
    <w:rPr>
      <w:rFonts w:ascii="Calibri" w:hAnsi="Calibri" w:cs="Arial Unicode MS"/>
      <w:color w:val="000000"/>
      <w:sz w:val="24"/>
      <w:szCs w:val="24"/>
      <w:u w:color="000000"/>
      <w:lang w:val="en-US"/>
      <w14:textOutline w14:w="12700" w14:cap="flat" w14:cmpd="sng" w14:algn="ctr">
        <w14:noFill/>
        <w14:prstDash w14:val="solid"/>
        <w14:miter w14:lim="400000"/>
      </w14:textOutline>
    </w:rPr>
  </w:style>
  <w:style w:type="paragraph" w:styleId="ListParagraph">
    <w:name w:val="List Paragraph"/>
    <w:pPr>
      <w:spacing w:after="180"/>
      <w:ind w:left="720"/>
      <w:jc w:val="both"/>
    </w:pPr>
    <w:rPr>
      <w:rFonts w:eastAsia="Times New Roman"/>
      <w:color w:val="000000"/>
      <w:u w:color="000000"/>
      <w:lang w:val="en-US"/>
    </w:rPr>
  </w:style>
  <w:style w:type="numbering" w:customStyle="1" w:styleId="eAktarlan12Stili">
    <w:name w:val="İçe Aktarılan 12 Stili"/>
    <w:pPr>
      <w:numPr>
        <w:numId w:val="4"/>
      </w:numPr>
    </w:pPr>
  </w:style>
  <w:style w:type="paragraph" w:customStyle="1" w:styleId="Doc-text2">
    <w:name w:val="Doc-text2"/>
    <w:basedOn w:val="Normal"/>
    <w:link w:val="Doc-text2Char"/>
    <w:qFormat/>
    <w:rsid w:val="00F8272E"/>
    <w:pPr>
      <w:pBdr>
        <w:top w:val="none" w:sz="0" w:space="0" w:color="auto"/>
        <w:left w:val="none" w:sz="0" w:space="0" w:color="auto"/>
        <w:bottom w:val="none" w:sz="0" w:space="0" w:color="auto"/>
        <w:right w:val="none" w:sz="0" w:space="0" w:color="auto"/>
        <w:between w:val="none" w:sz="0" w:space="0" w:color="auto"/>
        <w:bar w:val="none" w:sz="0" w:color="auto"/>
      </w:pBdr>
      <w:tabs>
        <w:tab w:val="left" w:pos="1622"/>
      </w:tabs>
      <w:ind w:left="1622" w:hanging="363"/>
    </w:pPr>
    <w:rPr>
      <w:rFonts w:ascii="Arial" w:eastAsia="MS Mincho" w:hAnsi="Arial"/>
      <w:sz w:val="20"/>
      <w:bdr w:val="none" w:sz="0" w:space="0" w:color="auto"/>
      <w:lang w:val="en-GB" w:eastAsia="en-GB"/>
    </w:rPr>
  </w:style>
  <w:style w:type="character" w:customStyle="1" w:styleId="Doc-text2Char">
    <w:name w:val="Doc-text2 Char"/>
    <w:link w:val="Doc-text2"/>
    <w:qFormat/>
    <w:rsid w:val="00F8272E"/>
    <w:rPr>
      <w:rFonts w:ascii="Arial" w:eastAsia="MS Mincho" w:hAnsi="Arial"/>
      <w:szCs w:val="24"/>
      <w:bdr w:val="none" w:sz="0" w:space="0" w:color="auto"/>
      <w:lang w:val="en-GB" w:eastAsia="en-GB"/>
    </w:rPr>
  </w:style>
  <w:style w:type="character" w:styleId="CommentReference">
    <w:name w:val="annotation reference"/>
    <w:basedOn w:val="DefaultParagraphFont"/>
    <w:uiPriority w:val="99"/>
    <w:semiHidden/>
    <w:unhideWhenUsed/>
    <w:rsid w:val="001A484A"/>
    <w:rPr>
      <w:sz w:val="16"/>
      <w:szCs w:val="16"/>
    </w:rPr>
  </w:style>
  <w:style w:type="paragraph" w:styleId="CommentText">
    <w:name w:val="annotation text"/>
    <w:basedOn w:val="Normal"/>
    <w:link w:val="CommentTextChar"/>
    <w:uiPriority w:val="99"/>
    <w:semiHidden/>
    <w:unhideWhenUsed/>
    <w:rsid w:val="001A484A"/>
    <w:rPr>
      <w:sz w:val="20"/>
      <w:szCs w:val="20"/>
    </w:rPr>
  </w:style>
  <w:style w:type="character" w:customStyle="1" w:styleId="CommentTextChar">
    <w:name w:val="Comment Text Char"/>
    <w:basedOn w:val="DefaultParagraphFont"/>
    <w:link w:val="CommentText"/>
    <w:uiPriority w:val="99"/>
    <w:semiHidden/>
    <w:rsid w:val="001A484A"/>
    <w:rPr>
      <w:lang w:val="en-US"/>
    </w:rPr>
  </w:style>
  <w:style w:type="paragraph" w:styleId="CommentSubject">
    <w:name w:val="annotation subject"/>
    <w:basedOn w:val="CommentText"/>
    <w:next w:val="CommentText"/>
    <w:link w:val="CommentSubjectChar"/>
    <w:uiPriority w:val="99"/>
    <w:semiHidden/>
    <w:unhideWhenUsed/>
    <w:rsid w:val="001A484A"/>
    <w:rPr>
      <w:b/>
      <w:bCs/>
    </w:rPr>
  </w:style>
  <w:style w:type="character" w:customStyle="1" w:styleId="CommentSubjectChar">
    <w:name w:val="Comment Subject Char"/>
    <w:basedOn w:val="CommentTextChar"/>
    <w:link w:val="CommentSubject"/>
    <w:uiPriority w:val="99"/>
    <w:semiHidden/>
    <w:rsid w:val="001A484A"/>
    <w:rPr>
      <w:b/>
      <w:bCs/>
      <w:lang w:val="en-US"/>
    </w:rPr>
  </w:style>
  <w:style w:type="paragraph" w:styleId="BalloonText">
    <w:name w:val="Balloon Text"/>
    <w:basedOn w:val="Normal"/>
    <w:link w:val="BalloonTextChar"/>
    <w:uiPriority w:val="99"/>
    <w:semiHidden/>
    <w:unhideWhenUsed/>
    <w:rsid w:val="001A484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484A"/>
    <w:rPr>
      <w:rFonts w:ascii="Segoe UI" w:hAnsi="Segoe UI" w:cs="Segoe UI"/>
      <w:sz w:val="18"/>
      <w:szCs w:val="18"/>
      <w:lang w:val="en-US"/>
    </w:rPr>
  </w:style>
  <w:style w:type="paragraph" w:styleId="Revision">
    <w:name w:val="Revision"/>
    <w:hidden/>
    <w:uiPriority w:val="99"/>
    <w:semiHidden/>
    <w:rsid w:val="008B11D6"/>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962</Words>
  <Characters>5488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Nikolitsa Eutuxia</dc:creator>
  <cp:lastModifiedBy>IZZET SAGLAM</cp:lastModifiedBy>
  <cp:revision>8</cp:revision>
  <dcterms:created xsi:type="dcterms:W3CDTF">2022-08-09T05:54:00Z</dcterms:created>
  <dcterms:modified xsi:type="dcterms:W3CDTF">2022-08-10T08:05:00Z</dcterms:modified>
</cp:coreProperties>
</file>